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44FBE" w14:textId="3FA30A24" w:rsidR="00EE59ED" w:rsidRDefault="558A89EE" w:rsidP="005B5FDE">
      <w:pPr>
        <w:pStyle w:val="Title"/>
        <w:jc w:val="center"/>
        <w:rPr>
          <w:rFonts w:ascii="Calibri Light" w:eastAsia="Yu Gothic Light" w:hAnsi="Calibri Light" w:cs="Times New Roman"/>
          <w:bCs/>
        </w:rPr>
      </w:pPr>
      <w:r>
        <w:t>Forest Health Highlights Vermont 2021</w:t>
      </w:r>
    </w:p>
    <w:p w14:paraId="6CC8E51C" w14:textId="472EE781" w:rsidR="00EE59ED" w:rsidRDefault="00EE59ED" w:rsidP="005B5FDE">
      <w:pPr>
        <w:pStyle w:val="Heading1"/>
      </w:pPr>
      <w:r w:rsidRPr="29A70AAA">
        <w:t>Forest Insects and Diseases</w:t>
      </w:r>
    </w:p>
    <w:p w14:paraId="35D97A3E" w14:textId="0C47DBB9" w:rsidR="00EE59ED" w:rsidRDefault="00EE59ED" w:rsidP="005B5FDE">
      <w:pPr>
        <w:pStyle w:val="Heading2"/>
        <w:rPr>
          <w:highlight w:val="yellow"/>
        </w:rPr>
      </w:pPr>
      <w:r w:rsidRPr="29A70AAA">
        <w:t xml:space="preserve">Asian </w:t>
      </w:r>
      <w:proofErr w:type="spellStart"/>
      <w:r w:rsidRPr="29A70AAA">
        <w:t>Longhorned</w:t>
      </w:r>
      <w:proofErr w:type="spellEnd"/>
      <w:r w:rsidRPr="29A70AAA">
        <w:t xml:space="preserve"> Beetle </w:t>
      </w:r>
    </w:p>
    <w:p w14:paraId="5621500F" w14:textId="3FA31AF6" w:rsidR="5B38523D" w:rsidRDefault="002213DD" w:rsidP="005B5FDE">
      <w:pPr>
        <w:rPr>
          <w:rStyle w:val="normaltextrun"/>
          <w:color w:val="000000" w:themeColor="text1"/>
        </w:rPr>
      </w:pPr>
      <w:r>
        <w:rPr>
          <w:noProof/>
        </w:rPr>
        <w:drawing>
          <wp:anchor distT="0" distB="0" distL="114300" distR="114300" simplePos="0" relativeHeight="251643392" behindDoc="0" locked="0" layoutInCell="1" allowOverlap="1" wp14:anchorId="0E307CE9" wp14:editId="6632BCC6">
            <wp:simplePos x="0" y="0"/>
            <wp:positionH relativeFrom="margin">
              <wp:align>center</wp:align>
            </wp:positionH>
            <wp:positionV relativeFrom="page">
              <wp:posOffset>2867025</wp:posOffset>
            </wp:positionV>
            <wp:extent cx="3803904" cy="4965192"/>
            <wp:effectExtent l="0" t="0" r="6350" b="6985"/>
            <wp:wrapTopAndBottom/>
            <wp:docPr id="1" name="Picture 1" descr="Locations of 8 Asian longhorned beetle traps monitored in Vermont in 2021.  Five traps were located in southern counties, while 3 traps were located in northern Ver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cations of 8 Asian longhorned beetle traps monitored in Vermont in 2021.  Five traps were located in southern counties, while 3 traps were located in northern Vermo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3904" cy="4965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13A1EA13" w:rsidRPr="0002DDED">
        <w:rPr>
          <w:rStyle w:val="normaltextrun"/>
          <w:color w:val="000000" w:themeColor="text1"/>
        </w:rPr>
        <w:t xml:space="preserve">Asian </w:t>
      </w:r>
      <w:proofErr w:type="spellStart"/>
      <w:r w:rsidR="13A1EA13" w:rsidRPr="0002DDED">
        <w:rPr>
          <w:rStyle w:val="normaltextrun"/>
          <w:color w:val="000000" w:themeColor="text1"/>
        </w:rPr>
        <w:t>longhorned</w:t>
      </w:r>
      <w:proofErr w:type="spellEnd"/>
      <w:r w:rsidR="13A1EA13" w:rsidRPr="0002DDED">
        <w:rPr>
          <w:rStyle w:val="normaltextrun"/>
          <w:color w:val="000000" w:themeColor="text1"/>
        </w:rPr>
        <w:t xml:space="preserve"> beetle </w:t>
      </w:r>
      <w:r w:rsidR="13A1EA13" w:rsidRPr="0002DDED">
        <w:rPr>
          <w:rFonts w:ascii="Calibri" w:eastAsia="Calibri" w:hAnsi="Calibri" w:cs="Calibri"/>
        </w:rPr>
        <w:t xml:space="preserve">(ALB, </w:t>
      </w:r>
      <w:proofErr w:type="spellStart"/>
      <w:r w:rsidR="13A1EA13" w:rsidRPr="0002DDED">
        <w:rPr>
          <w:rFonts w:ascii="Calibri" w:eastAsia="Calibri" w:hAnsi="Calibri" w:cs="Calibri"/>
          <w:i/>
          <w:iCs/>
        </w:rPr>
        <w:t>Anoplophora</w:t>
      </w:r>
      <w:proofErr w:type="spellEnd"/>
      <w:r w:rsidR="13A1EA13" w:rsidRPr="0002DDED">
        <w:rPr>
          <w:rFonts w:ascii="Calibri" w:eastAsia="Calibri" w:hAnsi="Calibri" w:cs="Calibri"/>
          <w:i/>
          <w:iCs/>
        </w:rPr>
        <w:t xml:space="preserve"> </w:t>
      </w:r>
      <w:proofErr w:type="spellStart"/>
      <w:r w:rsidR="13A1EA13" w:rsidRPr="0002DDED">
        <w:rPr>
          <w:rFonts w:ascii="Calibri" w:eastAsia="Calibri" w:hAnsi="Calibri" w:cs="Calibri"/>
          <w:i/>
          <w:iCs/>
        </w:rPr>
        <w:t>glabripennis</w:t>
      </w:r>
      <w:proofErr w:type="spellEnd"/>
      <w:r w:rsidR="13A1EA13" w:rsidRPr="0002DDED">
        <w:rPr>
          <w:rStyle w:val="normaltextrun"/>
          <w:color w:val="000000" w:themeColor="text1"/>
        </w:rPr>
        <w:t>) </w:t>
      </w:r>
      <w:r w:rsidR="7602C949" w:rsidRPr="0002DDED">
        <w:rPr>
          <w:rStyle w:val="normaltextrun"/>
          <w:color w:val="000000" w:themeColor="text1"/>
        </w:rPr>
        <w:t xml:space="preserve">is </w:t>
      </w:r>
      <w:r w:rsidR="13A1EA13" w:rsidRPr="0002DDED">
        <w:rPr>
          <w:rFonts w:ascii="Calibri" w:eastAsia="Calibri" w:hAnsi="Calibri" w:cs="Calibri"/>
        </w:rPr>
        <w:t>an invasive wood-boring beetle of</w:t>
      </w:r>
      <w:r w:rsidR="6C809E26" w:rsidRPr="0002DDED">
        <w:rPr>
          <w:rFonts w:ascii="Calibri" w:eastAsia="Calibri" w:hAnsi="Calibri" w:cs="Calibri"/>
        </w:rPr>
        <w:t xml:space="preserve"> a variety of</w:t>
      </w:r>
      <w:r w:rsidR="13A1EA13" w:rsidRPr="0002DDED">
        <w:rPr>
          <w:rFonts w:ascii="Calibri" w:eastAsia="Calibri" w:hAnsi="Calibri" w:cs="Calibri"/>
        </w:rPr>
        <w:t xml:space="preserve"> hardwood species</w:t>
      </w:r>
      <w:r w:rsidR="13A1EA13" w:rsidRPr="0002DDED">
        <w:rPr>
          <w:rStyle w:val="normaltextrun"/>
          <w:color w:val="000000" w:themeColor="text1"/>
        </w:rPr>
        <w:t xml:space="preserve"> </w:t>
      </w:r>
      <w:r w:rsidR="0CF22981" w:rsidRPr="0002DDED">
        <w:rPr>
          <w:rStyle w:val="normaltextrun"/>
          <w:color w:val="000000" w:themeColor="text1"/>
        </w:rPr>
        <w:t xml:space="preserve">including, but not limited to, maples, </w:t>
      </w:r>
      <w:r w:rsidR="4C2AA624" w:rsidRPr="0002DDED">
        <w:rPr>
          <w:rStyle w:val="normaltextrun"/>
          <w:color w:val="000000" w:themeColor="text1"/>
        </w:rPr>
        <w:t>horse chestnut</w:t>
      </w:r>
      <w:r w:rsidR="0CF22981" w:rsidRPr="0002DDED">
        <w:rPr>
          <w:rStyle w:val="normaltextrun"/>
          <w:color w:val="000000" w:themeColor="text1"/>
        </w:rPr>
        <w:t xml:space="preserve">, willows, American elm, </w:t>
      </w:r>
      <w:proofErr w:type="gramStart"/>
      <w:r w:rsidR="0CF22981" w:rsidRPr="0002DDED">
        <w:rPr>
          <w:rStyle w:val="normaltextrun"/>
          <w:color w:val="000000" w:themeColor="text1"/>
        </w:rPr>
        <w:t>birch</w:t>
      </w:r>
      <w:proofErr w:type="gramEnd"/>
      <w:r w:rsidR="0CF22981" w:rsidRPr="0002DDED">
        <w:rPr>
          <w:rStyle w:val="normaltextrun"/>
          <w:color w:val="000000" w:themeColor="text1"/>
        </w:rPr>
        <w:t xml:space="preserve"> and sycamores.</w:t>
      </w:r>
      <w:r w:rsidR="354C2149" w:rsidRPr="0002DDED">
        <w:rPr>
          <w:rStyle w:val="normaltextrun"/>
          <w:color w:val="000000" w:themeColor="text1"/>
        </w:rPr>
        <w:t xml:space="preserve"> </w:t>
      </w:r>
      <w:r w:rsidR="6A8F20D0" w:rsidRPr="0002DDED">
        <w:rPr>
          <w:rStyle w:val="normaltextrun"/>
          <w:color w:val="000000" w:themeColor="text1"/>
        </w:rPr>
        <w:t xml:space="preserve"> </w:t>
      </w:r>
      <w:r w:rsidR="535FE67F" w:rsidRPr="0002DDED">
        <w:rPr>
          <w:rStyle w:val="normaltextrun"/>
          <w:b/>
          <w:bCs/>
          <w:color w:val="000000" w:themeColor="text1"/>
        </w:rPr>
        <w:t>This invasive insect has not been detected in VT.</w:t>
      </w:r>
      <w:r w:rsidR="535FE67F" w:rsidRPr="0002DDED">
        <w:rPr>
          <w:rStyle w:val="normaltextrun"/>
          <w:color w:val="000000" w:themeColor="text1"/>
        </w:rPr>
        <w:t xml:space="preserve">  As part of</w:t>
      </w:r>
      <w:r w:rsidR="354C2149" w:rsidRPr="0002DDED">
        <w:rPr>
          <w:rStyle w:val="normaltextrun"/>
          <w:color w:val="000000" w:themeColor="text1"/>
        </w:rPr>
        <w:t xml:space="preserve"> early detection efforts, eight ALB combination</w:t>
      </w:r>
      <w:r w:rsidR="13A1EA13" w:rsidRPr="0002DDED">
        <w:rPr>
          <w:rStyle w:val="normaltextrun"/>
          <w:color w:val="000000" w:themeColor="text1"/>
        </w:rPr>
        <w:t xml:space="preserve"> pheromone traps were deployed statewide in mid-summer</w:t>
      </w:r>
      <w:r>
        <w:rPr>
          <w:rStyle w:val="normaltextrun"/>
          <w:color w:val="000000" w:themeColor="text1"/>
        </w:rPr>
        <w:t xml:space="preserve"> (Figure 1)</w:t>
      </w:r>
      <w:r w:rsidR="13A1EA13" w:rsidRPr="0002DDED">
        <w:rPr>
          <w:rStyle w:val="normaltextrun"/>
          <w:color w:val="000000" w:themeColor="text1"/>
        </w:rPr>
        <w:t xml:space="preserve">. </w:t>
      </w:r>
      <w:r w:rsidR="675A13F9" w:rsidRPr="0002DDED">
        <w:rPr>
          <w:rStyle w:val="normaltextrun"/>
          <w:color w:val="000000" w:themeColor="text1"/>
        </w:rPr>
        <w:t xml:space="preserve">No ALB were trapped this season. </w:t>
      </w:r>
    </w:p>
    <w:p w14:paraId="0B261D5C" w14:textId="35C573E1" w:rsidR="009F0CE1" w:rsidRDefault="009F0CE1" w:rsidP="005B5FDE">
      <w:pPr>
        <w:rPr>
          <w:rStyle w:val="normaltextrun"/>
          <w:color w:val="000000" w:themeColor="text1"/>
        </w:rPr>
      </w:pPr>
    </w:p>
    <w:p w14:paraId="18495669" w14:textId="77777777" w:rsidR="009F0CE1" w:rsidRDefault="009F0CE1" w:rsidP="009F0CE1">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Figure 1. </w:t>
      </w:r>
      <w:r>
        <w:rPr>
          <w:rStyle w:val="normaltextrun"/>
          <w:rFonts w:ascii="Calibri" w:hAnsi="Calibri" w:cs="Calibri"/>
          <w:color w:val="000000"/>
          <w:shd w:val="clear" w:color="auto" w:fill="FFFFFF"/>
        </w:rPr>
        <w:t> Locations of ALB pheromone traps in Vermont in 2021.</w:t>
      </w:r>
      <w:r>
        <w:rPr>
          <w:rStyle w:val="eop"/>
          <w:rFonts w:ascii="Calibri" w:hAnsi="Calibri" w:cs="Calibri"/>
          <w:color w:val="000000"/>
          <w:shd w:val="clear" w:color="auto" w:fill="FFFFFF"/>
        </w:rPr>
        <w:t> </w:t>
      </w:r>
    </w:p>
    <w:p w14:paraId="1D3F165B" w14:textId="77777777" w:rsidR="009F0CE1" w:rsidRDefault="009F0CE1" w:rsidP="005B5FDE">
      <w:pPr>
        <w:rPr>
          <w:rStyle w:val="normaltextrun"/>
          <w:color w:val="000000" w:themeColor="text1"/>
        </w:rPr>
      </w:pPr>
    </w:p>
    <w:p w14:paraId="67FC8C33" w14:textId="77777777" w:rsidR="009F0CE1" w:rsidRDefault="009F0CE1" w:rsidP="005B5FDE">
      <w:pPr>
        <w:rPr>
          <w:rStyle w:val="normaltextrun"/>
          <w:color w:val="000000" w:themeColor="text1"/>
        </w:rPr>
      </w:pPr>
    </w:p>
    <w:p w14:paraId="25E8A53E" w14:textId="77777777" w:rsidR="00EE59ED" w:rsidRDefault="00EE59ED" w:rsidP="00ED6144">
      <w:pPr>
        <w:pStyle w:val="Heading2"/>
      </w:pPr>
      <w:r w:rsidRPr="29A70AAA">
        <w:lastRenderedPageBreak/>
        <w:t xml:space="preserve">Beech Leaf Disease </w:t>
      </w:r>
    </w:p>
    <w:p w14:paraId="204435C7" w14:textId="687FB15D" w:rsidR="00EE59ED" w:rsidRPr="00494164" w:rsidRDefault="558A89EE" w:rsidP="5658DD38">
      <w:pPr>
        <w:rPr>
          <w:rStyle w:val="normaltextrun"/>
          <w:rFonts w:ascii="Calibri" w:hAnsi="Calibri" w:cs="Calibri"/>
          <w:b/>
          <w:bCs/>
          <w:i/>
          <w:iCs/>
          <w:color w:val="000000" w:themeColor="text1"/>
        </w:rPr>
      </w:pPr>
      <w:r>
        <w:rPr>
          <w:rStyle w:val="normaltextrun"/>
          <w:rFonts w:ascii="Calibri" w:hAnsi="Calibri" w:cs="Calibri"/>
          <w:color w:val="000000"/>
          <w:shd w:val="clear" w:color="auto" w:fill="FFFFFF"/>
        </w:rPr>
        <w:t>Eight long-term Beech Leaf Disease monitoring sites were established across Vermont</w:t>
      </w:r>
      <w:r w:rsidR="002213DD">
        <w:rPr>
          <w:rStyle w:val="normaltextrun"/>
          <w:rFonts w:ascii="Calibri" w:hAnsi="Calibri" w:cs="Calibri"/>
          <w:color w:val="000000"/>
          <w:shd w:val="clear" w:color="auto" w:fill="FFFFFF"/>
        </w:rPr>
        <w:t xml:space="preserve"> (Figure 2)</w:t>
      </w:r>
      <w:r>
        <w:rPr>
          <w:rStyle w:val="normaltextrun"/>
          <w:rFonts w:ascii="Calibri" w:hAnsi="Calibri" w:cs="Calibri"/>
          <w:color w:val="000000"/>
          <w:shd w:val="clear" w:color="auto" w:fill="FFFFFF"/>
        </w:rPr>
        <w:t>. Beech leaf disease (BLD) affects both American and European beech trees and causes leaf deformation, dieback, and mortality of infested hosts. The causal agent of BLD is an introduced nematode from Japan, </w:t>
      </w:r>
      <w:proofErr w:type="spellStart"/>
      <w:r w:rsidRPr="5658DD38">
        <w:rPr>
          <w:rStyle w:val="spellingerror"/>
          <w:rFonts w:ascii="Calibri" w:hAnsi="Calibri" w:cs="Calibri"/>
          <w:i/>
          <w:iCs/>
          <w:color w:val="000000"/>
          <w:shd w:val="clear" w:color="auto" w:fill="FFFFFF"/>
        </w:rPr>
        <w:t>Litylenchus</w:t>
      </w:r>
      <w:proofErr w:type="spellEnd"/>
      <w:r w:rsidRPr="5658DD38">
        <w:rPr>
          <w:rStyle w:val="normaltextrun"/>
          <w:rFonts w:ascii="Calibri" w:hAnsi="Calibri" w:cs="Calibri"/>
          <w:i/>
          <w:iCs/>
          <w:color w:val="000000"/>
          <w:shd w:val="clear" w:color="auto" w:fill="FFFFFF"/>
        </w:rPr>
        <w:t> </w:t>
      </w:r>
      <w:proofErr w:type="spellStart"/>
      <w:r w:rsidRPr="5658DD38">
        <w:rPr>
          <w:rStyle w:val="spellingerror"/>
          <w:rFonts w:ascii="Calibri" w:hAnsi="Calibri" w:cs="Calibri"/>
          <w:i/>
          <w:iCs/>
          <w:color w:val="000000"/>
          <w:shd w:val="clear" w:color="auto" w:fill="FFFFFF"/>
        </w:rPr>
        <w:t>crenatae</w:t>
      </w:r>
      <w:proofErr w:type="spellEnd"/>
      <w:r w:rsidRPr="5658DD38">
        <w:rPr>
          <w:rStyle w:val="normaltextrun"/>
          <w:rFonts w:ascii="Calibri" w:hAnsi="Calibri" w:cs="Calibri"/>
          <w:i/>
          <w:iCs/>
          <w:color w:val="000000"/>
          <w:shd w:val="clear" w:color="auto" w:fill="FFFFFF"/>
        </w:rPr>
        <w:t> </w:t>
      </w:r>
      <w:proofErr w:type="spellStart"/>
      <w:r w:rsidRPr="5658DD38">
        <w:rPr>
          <w:rStyle w:val="spellingerror"/>
          <w:rFonts w:ascii="Calibri" w:hAnsi="Calibri" w:cs="Calibri"/>
          <w:i/>
          <w:iCs/>
          <w:color w:val="000000"/>
          <w:shd w:val="clear" w:color="auto" w:fill="FFFFFF"/>
        </w:rPr>
        <w:t>mccannii</w:t>
      </w:r>
      <w:proofErr w:type="spellEnd"/>
      <w:r>
        <w:rPr>
          <w:rStyle w:val="normaltextrun"/>
          <w:rFonts w:ascii="Calibri" w:hAnsi="Calibri" w:cs="Calibri"/>
          <w:color w:val="000000"/>
          <w:shd w:val="clear" w:color="auto" w:fill="FFFFFF"/>
        </w:rPr>
        <w:t>. This pest can affect all ages and sizes of beech, being most deadly to saplings and understory beech. This pest has currently been reported in 7 states, and Ontario</w:t>
      </w:r>
      <w:r w:rsidR="566D17FF">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Canada. The most recent reports are in Maine (2021), Massachusetts (2020), and Rhode Island (2020). </w:t>
      </w:r>
      <w:r w:rsidRPr="00494164">
        <w:rPr>
          <w:rStyle w:val="normaltextrun"/>
          <w:rFonts w:ascii="Calibri" w:hAnsi="Calibri" w:cs="Calibri"/>
          <w:b/>
          <w:bCs/>
          <w:color w:val="000000"/>
          <w:shd w:val="clear" w:color="auto" w:fill="FFFFFF"/>
        </w:rPr>
        <w:t>This pest has currently not been observed in Vermont.</w:t>
      </w:r>
    </w:p>
    <w:p w14:paraId="036E5C80" w14:textId="3BDF5D7D" w:rsidR="009F0CE1" w:rsidRDefault="009F0CE1" w:rsidP="00ED6144">
      <w:pPr>
        <w:pStyle w:val="Heading2"/>
      </w:pPr>
      <w:r>
        <w:rPr>
          <w:noProof/>
        </w:rPr>
        <w:drawing>
          <wp:anchor distT="0" distB="0" distL="114300" distR="114300" simplePos="0" relativeHeight="251659264" behindDoc="0" locked="0" layoutInCell="1" allowOverlap="1" wp14:anchorId="031246BA" wp14:editId="2799D4CB">
            <wp:simplePos x="0" y="0"/>
            <wp:positionH relativeFrom="column">
              <wp:align>center</wp:align>
            </wp:positionH>
            <wp:positionV relativeFrom="page">
              <wp:align>center</wp:align>
            </wp:positionV>
            <wp:extent cx="3584448" cy="4645152"/>
            <wp:effectExtent l="0" t="0" r="0" b="3175"/>
            <wp:wrapTopAndBottom/>
            <wp:docPr id="2" name="Picture 2" descr="Location of 8 beech leaf disease monitoring plots established in Vermont in 2021.  No beech leaf disease was detected in the state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cation of 8 beech leaf disease monitoring plots established in Vermont in 2021.  No beech leaf disease was detected in the state in 2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4448" cy="4645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2BA3E" w14:textId="77777777" w:rsidR="009F0CE1" w:rsidRDefault="009F0CE1" w:rsidP="009F0CE1">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Figure 2. </w:t>
      </w:r>
      <w:r>
        <w:rPr>
          <w:rStyle w:val="normaltextrun"/>
          <w:rFonts w:ascii="Calibri" w:hAnsi="Calibri" w:cs="Calibri"/>
          <w:color w:val="000000"/>
          <w:shd w:val="clear" w:color="auto" w:fill="FFFFFF"/>
        </w:rPr>
        <w:t>Locations of beech leaf disease (BLD) monitoring plots established in Vermont in 2021.</w:t>
      </w:r>
      <w:r>
        <w:rPr>
          <w:rStyle w:val="eop"/>
          <w:rFonts w:ascii="Calibri" w:hAnsi="Calibri" w:cs="Calibri"/>
          <w:color w:val="000000"/>
          <w:shd w:val="clear" w:color="auto" w:fill="FFFFFF"/>
        </w:rPr>
        <w:t> </w:t>
      </w:r>
    </w:p>
    <w:p w14:paraId="73172210" w14:textId="77777777" w:rsidR="009F0CE1" w:rsidRPr="009F0CE1" w:rsidRDefault="009F0CE1" w:rsidP="009F0CE1"/>
    <w:p w14:paraId="5BC679C6" w14:textId="488A79C5" w:rsidR="00EE59ED" w:rsidRDefault="558A89EE" w:rsidP="00ED6144">
      <w:pPr>
        <w:pStyle w:val="Heading2"/>
      </w:pPr>
      <w:r w:rsidRPr="0002DDED">
        <w:t>Emerald Ash Borer</w:t>
      </w:r>
    </w:p>
    <w:p w14:paraId="42D08368" w14:textId="622C64FC" w:rsidR="55B9D33B" w:rsidRDefault="55B9D33B" w:rsidP="00ED6144">
      <w:r>
        <w:t>After first detecting emerald ash borer (EAB) in Vermont in 2018</w:t>
      </w:r>
      <w:r w:rsidR="5236E162">
        <w:t>, efforts have been made across the state to identify new detections, a</w:t>
      </w:r>
      <w:r w:rsidR="310C5237">
        <w:t>nd</w:t>
      </w:r>
      <w:r w:rsidR="5236E162">
        <w:t xml:space="preserve"> to track the spread of the current infestation.  In 2021, a total of 110 purple</w:t>
      </w:r>
      <w:r w:rsidR="778099FE">
        <w:t xml:space="preserve"> prism traps were established and monitored by a mix of state forestry staff </w:t>
      </w:r>
      <w:r w:rsidR="197B90D1">
        <w:t>and volunteers</w:t>
      </w:r>
      <w:r w:rsidR="002213DD">
        <w:t xml:space="preserve"> (Figure 3)</w:t>
      </w:r>
      <w:r w:rsidR="016A4949">
        <w:t>.</w:t>
      </w:r>
      <w:r w:rsidR="377D9D57">
        <w:t xml:space="preserve">  Girdled trap trees were also established by state forestry staff and USDA Forest Service staff </w:t>
      </w:r>
      <w:r w:rsidR="377D9D57">
        <w:lastRenderedPageBreak/>
        <w:t>on state lands</w:t>
      </w:r>
      <w:r w:rsidR="074CAD8B">
        <w:t xml:space="preserve"> (</w:t>
      </w:r>
      <w:r w:rsidR="60BCBBE1">
        <w:t xml:space="preserve">n = </w:t>
      </w:r>
      <w:r w:rsidR="074CAD8B">
        <w:t>35)</w:t>
      </w:r>
      <w:r w:rsidR="377D9D57">
        <w:t xml:space="preserve"> and </w:t>
      </w:r>
      <w:r w:rsidR="3E52FC65">
        <w:t>the Green Mountain National Forest</w:t>
      </w:r>
      <w:r w:rsidR="0AC21B24">
        <w:t xml:space="preserve"> (</w:t>
      </w:r>
      <w:r w:rsidR="22AB4161">
        <w:t>n =</w:t>
      </w:r>
      <w:r w:rsidR="0AC21B24">
        <w:t>10)</w:t>
      </w:r>
      <w:r w:rsidR="3E52FC65">
        <w:t xml:space="preserve">, respectively. </w:t>
      </w:r>
      <w:r w:rsidR="60286069">
        <w:t xml:space="preserve"> </w:t>
      </w:r>
      <w:r w:rsidR="400F2E7A">
        <w:t>Together with requested site visits, these tools resulted in 30 new detections and 15 new towns with EAB in Vermont in 2021</w:t>
      </w:r>
      <w:r w:rsidR="002213DD">
        <w:t xml:space="preserve"> (Figure 4)</w:t>
      </w:r>
      <w:r w:rsidR="400F2E7A">
        <w:t>.  New towns include Belvidere, Be</w:t>
      </w:r>
      <w:r w:rsidR="6A4F80EA">
        <w:t xml:space="preserve">rlin, Brookfield, Colchester, East Montpelier, Grand Isle, Hartford, Highgate, Middlebury, North Hero, Rupert, Saint Albans Town, Shaftsbury, </w:t>
      </w:r>
      <w:proofErr w:type="gramStart"/>
      <w:r w:rsidR="6A4F80EA">
        <w:t>Vernon</w:t>
      </w:r>
      <w:proofErr w:type="gramEnd"/>
      <w:r w:rsidR="6A4F80EA">
        <w:t xml:space="preserve"> and Wilmington.  New counties with EAB this year</w:t>
      </w:r>
      <w:r w:rsidR="49A1F383">
        <w:t xml:space="preserve"> include Lamoille and Windsor counties.  Essex county is currently the only county in the state without a confirmed detection.</w:t>
      </w:r>
    </w:p>
    <w:p w14:paraId="51142A2D" w14:textId="18219C7A" w:rsidR="009F0CE1" w:rsidRDefault="009F0CE1" w:rsidP="00ED6144">
      <w:pPr>
        <w:pStyle w:val="Heading3"/>
      </w:pPr>
    </w:p>
    <w:p w14:paraId="4BFEDA0D" w14:textId="77777777" w:rsidR="002213DD" w:rsidRPr="002213DD" w:rsidRDefault="002213DD" w:rsidP="002213DD"/>
    <w:p w14:paraId="19880F7B" w14:textId="77777777" w:rsidR="002213DD" w:rsidRDefault="002213DD" w:rsidP="009F0CE1">
      <w:pPr>
        <w:rPr>
          <w:rStyle w:val="normaltextrun"/>
          <w:rFonts w:ascii="Calibri" w:hAnsi="Calibri" w:cs="Calibri"/>
          <w:b/>
          <w:bCs/>
          <w:color w:val="000000"/>
          <w:shd w:val="clear" w:color="auto" w:fill="FFFFFF"/>
        </w:rPr>
      </w:pPr>
    </w:p>
    <w:p w14:paraId="43B13EF0" w14:textId="77777777" w:rsidR="002213DD" w:rsidRDefault="002213DD" w:rsidP="009F0CE1">
      <w:pPr>
        <w:rPr>
          <w:rStyle w:val="normaltextrun"/>
          <w:rFonts w:ascii="Calibri" w:hAnsi="Calibri" w:cs="Calibri"/>
          <w:b/>
          <w:bCs/>
          <w:color w:val="000000"/>
          <w:shd w:val="clear" w:color="auto" w:fill="FFFFFF"/>
        </w:rPr>
      </w:pPr>
    </w:p>
    <w:p w14:paraId="7E6351D7" w14:textId="77777777" w:rsidR="002213DD" w:rsidRDefault="002213DD" w:rsidP="009F0CE1">
      <w:pPr>
        <w:rPr>
          <w:rStyle w:val="normaltextrun"/>
          <w:rFonts w:ascii="Calibri" w:hAnsi="Calibri" w:cs="Calibri"/>
          <w:b/>
          <w:bCs/>
          <w:color w:val="000000"/>
          <w:shd w:val="clear" w:color="auto" w:fill="FFFFFF"/>
        </w:rPr>
      </w:pPr>
    </w:p>
    <w:p w14:paraId="02ADEC5B" w14:textId="01C85B4D" w:rsidR="009F0CE1" w:rsidRDefault="002213DD" w:rsidP="009F0CE1">
      <w:pPr>
        <w:rPr>
          <w:rStyle w:val="eop"/>
          <w:rFonts w:ascii="Calibri" w:hAnsi="Calibri" w:cs="Calibri"/>
          <w:color w:val="000000"/>
          <w:shd w:val="clear" w:color="auto" w:fill="FFFFFF"/>
        </w:rPr>
      </w:pPr>
      <w:r>
        <w:rPr>
          <w:noProof/>
        </w:rPr>
        <w:drawing>
          <wp:anchor distT="0" distB="0" distL="114300" distR="114300" simplePos="0" relativeHeight="251645440" behindDoc="0" locked="0" layoutInCell="1" allowOverlap="1" wp14:anchorId="1AC83C62" wp14:editId="5119F644">
            <wp:simplePos x="0" y="0"/>
            <wp:positionH relativeFrom="column">
              <wp:posOffset>463550</wp:posOffset>
            </wp:positionH>
            <wp:positionV relativeFrom="page">
              <wp:posOffset>2114550</wp:posOffset>
            </wp:positionV>
            <wp:extent cx="4755515" cy="6161405"/>
            <wp:effectExtent l="0" t="0" r="6985" b="0"/>
            <wp:wrapSquare wrapText="bothSides"/>
            <wp:docPr id="3" name="Picture 3" descr="Locations of EAB purple traps and girdled trap trees throughout Vermont in 2021.  A total of 110 purple traps and 45 trap trees were monitored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tions of EAB purple traps and girdled trap trees throughout Vermont in 2021.  A total of 110 purple traps and 45 trap trees were monitored in 20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5515" cy="616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CE1">
        <w:rPr>
          <w:rStyle w:val="normaltextrun"/>
          <w:rFonts w:ascii="Calibri" w:hAnsi="Calibri" w:cs="Calibri"/>
          <w:b/>
          <w:bCs/>
          <w:color w:val="000000"/>
          <w:shd w:val="clear" w:color="auto" w:fill="FFFFFF"/>
        </w:rPr>
        <w:t>Figure 3. </w:t>
      </w:r>
      <w:r w:rsidR="009F0CE1">
        <w:rPr>
          <w:rStyle w:val="normaltextrun"/>
          <w:rFonts w:ascii="Calibri" w:hAnsi="Calibri" w:cs="Calibri"/>
          <w:color w:val="000000"/>
          <w:shd w:val="clear" w:color="auto" w:fill="FFFFFF"/>
        </w:rPr>
        <w:t>Locations of purple traps and girdled trap trees used for EAB detection throughout Vermont in 2021.</w:t>
      </w:r>
      <w:r w:rsidR="009F0CE1">
        <w:rPr>
          <w:rStyle w:val="eop"/>
          <w:rFonts w:ascii="Calibri" w:hAnsi="Calibri" w:cs="Calibri"/>
          <w:color w:val="000000"/>
          <w:shd w:val="clear" w:color="auto" w:fill="FFFFFF"/>
        </w:rPr>
        <w:t> </w:t>
      </w:r>
    </w:p>
    <w:p w14:paraId="63E6A2A7" w14:textId="548386A9" w:rsidR="009F0CE1" w:rsidRDefault="00A95AF8" w:rsidP="009F0CE1">
      <w:r>
        <w:rPr>
          <w:noProof/>
        </w:rPr>
        <w:lastRenderedPageBreak/>
        <w:drawing>
          <wp:anchor distT="0" distB="0" distL="114300" distR="114300" simplePos="0" relativeHeight="251646464" behindDoc="0" locked="0" layoutInCell="1" allowOverlap="1" wp14:anchorId="5CFA3C42" wp14:editId="5ACCFD05">
            <wp:simplePos x="0" y="0"/>
            <wp:positionH relativeFrom="column">
              <wp:posOffset>358140</wp:posOffset>
            </wp:positionH>
            <wp:positionV relativeFrom="page">
              <wp:posOffset>1177925</wp:posOffset>
            </wp:positionV>
            <wp:extent cx="5074920" cy="6565392"/>
            <wp:effectExtent l="0" t="0" r="0" b="6985"/>
            <wp:wrapTopAndBottom/>
            <wp:docPr id="4" name="Picture 4" descr="Locations of the 15 new towns and 2 new counties with EAB in Vermont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cations of the 15 new towns and 2 new counties with EAB in Vermont in 20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4920" cy="65653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B9EDD" w14:textId="02C18121" w:rsidR="009F0CE1" w:rsidRDefault="009F0CE1" w:rsidP="009F0CE1">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Figure 4.  </w:t>
      </w:r>
      <w:r>
        <w:rPr>
          <w:rStyle w:val="normaltextrun"/>
          <w:rFonts w:ascii="Calibri" w:hAnsi="Calibri" w:cs="Calibri"/>
          <w:color w:val="000000"/>
          <w:shd w:val="clear" w:color="auto" w:fill="FFFFFF"/>
        </w:rPr>
        <w:t>Locations of newly EAB-infested towns and counties of Vermont from 2021.</w:t>
      </w:r>
      <w:r>
        <w:rPr>
          <w:rStyle w:val="eop"/>
          <w:rFonts w:ascii="Calibri" w:hAnsi="Calibri" w:cs="Calibri"/>
          <w:color w:val="000000"/>
          <w:shd w:val="clear" w:color="auto" w:fill="FFFFFF"/>
        </w:rPr>
        <w:t> </w:t>
      </w:r>
    </w:p>
    <w:p w14:paraId="3A0C86F5" w14:textId="52C82D68" w:rsidR="009F0CE1" w:rsidRDefault="009F0CE1" w:rsidP="00ED6144">
      <w:pPr>
        <w:pStyle w:val="Heading3"/>
      </w:pPr>
    </w:p>
    <w:p w14:paraId="4EE22A9B" w14:textId="0DA2CFDA" w:rsidR="4FC1F6AB" w:rsidRDefault="4FC1F6AB" w:rsidP="00ED6144">
      <w:pPr>
        <w:pStyle w:val="Heading3"/>
      </w:pPr>
      <w:r w:rsidRPr="414B1131">
        <w:t>EAB Biocontrol</w:t>
      </w:r>
    </w:p>
    <w:p w14:paraId="084ACEC1" w14:textId="76B10411" w:rsidR="4FC1F6AB" w:rsidRDefault="5086A76E" w:rsidP="00ED6144">
      <w:r>
        <w:t xml:space="preserve">EAB biocontrol releases began in 2020 at two sites in Vermont, one at a private campground in South Hero, VT, the other at LR Jones State Forest (Plainfield, VT).  The first year of releases included </w:t>
      </w:r>
      <w:proofErr w:type="spellStart"/>
      <w:r w:rsidRPr="0002DDED">
        <w:rPr>
          <w:i/>
          <w:iCs/>
        </w:rPr>
        <w:t>Tetrastichus</w:t>
      </w:r>
      <w:proofErr w:type="spellEnd"/>
      <w:r w:rsidRPr="0002DDED">
        <w:rPr>
          <w:i/>
          <w:iCs/>
        </w:rPr>
        <w:t xml:space="preserve"> </w:t>
      </w:r>
      <w:proofErr w:type="spellStart"/>
      <w:r w:rsidRPr="0002DDED">
        <w:rPr>
          <w:i/>
          <w:iCs/>
        </w:rPr>
        <w:t>planipennisi</w:t>
      </w:r>
      <w:proofErr w:type="spellEnd"/>
      <w:r w:rsidRPr="0002DDED">
        <w:rPr>
          <w:i/>
          <w:iCs/>
        </w:rPr>
        <w:t xml:space="preserve"> </w:t>
      </w:r>
      <w:r>
        <w:t>exclusively</w:t>
      </w:r>
      <w:r w:rsidR="15716DB7">
        <w:t xml:space="preserve">, with over 4300 wasps released at each site.  In 2021, all three </w:t>
      </w:r>
      <w:r w:rsidR="15716DB7">
        <w:lastRenderedPageBreak/>
        <w:t xml:space="preserve">parasitoids </w:t>
      </w:r>
      <w:r w:rsidR="252F3138">
        <w:t>were available for release, and each site received</w:t>
      </w:r>
      <w:r w:rsidR="1D2FD8E8">
        <w:t xml:space="preserve"> </w:t>
      </w:r>
      <w:r w:rsidR="27841C51">
        <w:t xml:space="preserve">at least </w:t>
      </w:r>
      <w:r w:rsidR="1D2FD8E8">
        <w:t xml:space="preserve">4000 </w:t>
      </w:r>
      <w:r w:rsidR="1D2FD8E8" w:rsidRPr="0002DDED">
        <w:rPr>
          <w:i/>
          <w:iCs/>
        </w:rPr>
        <w:t xml:space="preserve">T. </w:t>
      </w:r>
      <w:proofErr w:type="spellStart"/>
      <w:r w:rsidR="1D2FD8E8" w:rsidRPr="0002DDED">
        <w:rPr>
          <w:i/>
          <w:iCs/>
        </w:rPr>
        <w:t>planipennisi</w:t>
      </w:r>
      <w:proofErr w:type="spellEnd"/>
      <w:r w:rsidR="1D2FD8E8">
        <w:t xml:space="preserve">, </w:t>
      </w:r>
      <w:r w:rsidR="0F8ECE5D">
        <w:t xml:space="preserve">1100 </w:t>
      </w:r>
      <w:proofErr w:type="spellStart"/>
      <w:r w:rsidR="0F8ECE5D" w:rsidRPr="0002DDED">
        <w:rPr>
          <w:i/>
          <w:iCs/>
        </w:rPr>
        <w:t>Spathius</w:t>
      </w:r>
      <w:proofErr w:type="spellEnd"/>
      <w:r w:rsidR="0F8ECE5D" w:rsidRPr="0002DDED">
        <w:rPr>
          <w:i/>
          <w:iCs/>
        </w:rPr>
        <w:t xml:space="preserve"> </w:t>
      </w:r>
      <w:proofErr w:type="spellStart"/>
      <w:r w:rsidR="0F8ECE5D" w:rsidRPr="0002DDED">
        <w:rPr>
          <w:i/>
          <w:iCs/>
        </w:rPr>
        <w:t>galinae</w:t>
      </w:r>
      <w:proofErr w:type="spellEnd"/>
      <w:r w:rsidR="0F8ECE5D">
        <w:t xml:space="preserve">, and 1000 </w:t>
      </w:r>
      <w:proofErr w:type="spellStart"/>
      <w:r w:rsidR="0F8ECE5D" w:rsidRPr="0002DDED">
        <w:rPr>
          <w:i/>
          <w:iCs/>
        </w:rPr>
        <w:t>Oobius</w:t>
      </w:r>
      <w:proofErr w:type="spellEnd"/>
      <w:r w:rsidR="0F8ECE5D" w:rsidRPr="0002DDED">
        <w:rPr>
          <w:i/>
          <w:iCs/>
        </w:rPr>
        <w:t xml:space="preserve"> </w:t>
      </w:r>
      <w:proofErr w:type="spellStart"/>
      <w:r w:rsidR="0F8ECE5D" w:rsidRPr="0002DDED">
        <w:rPr>
          <w:i/>
          <w:iCs/>
        </w:rPr>
        <w:t>agrili</w:t>
      </w:r>
      <w:proofErr w:type="spellEnd"/>
      <w:r w:rsidR="0F8ECE5D">
        <w:t xml:space="preserve">.  </w:t>
      </w:r>
      <w:r w:rsidR="7393B572">
        <w:t xml:space="preserve">Recovery efforts will begin in 2022 for </w:t>
      </w:r>
      <w:r w:rsidR="7393B572" w:rsidRPr="0002DDED">
        <w:rPr>
          <w:i/>
          <w:iCs/>
        </w:rPr>
        <w:t xml:space="preserve">T. </w:t>
      </w:r>
      <w:proofErr w:type="spellStart"/>
      <w:r w:rsidR="7393B572" w:rsidRPr="0002DDED">
        <w:rPr>
          <w:i/>
          <w:iCs/>
        </w:rPr>
        <w:t>planipennisi</w:t>
      </w:r>
      <w:proofErr w:type="spellEnd"/>
      <w:r w:rsidR="7393B572">
        <w:t xml:space="preserve">, with another year of releases for both </w:t>
      </w:r>
      <w:r w:rsidR="7393B572" w:rsidRPr="0002DDED">
        <w:rPr>
          <w:i/>
          <w:iCs/>
        </w:rPr>
        <w:t xml:space="preserve">S. </w:t>
      </w:r>
      <w:proofErr w:type="spellStart"/>
      <w:r w:rsidR="7393B572" w:rsidRPr="0002DDED">
        <w:rPr>
          <w:i/>
          <w:iCs/>
        </w:rPr>
        <w:t>galinae</w:t>
      </w:r>
      <w:proofErr w:type="spellEnd"/>
      <w:r w:rsidR="7393B572">
        <w:t xml:space="preserve"> and </w:t>
      </w:r>
      <w:r w:rsidR="7393B572" w:rsidRPr="0002DDED">
        <w:rPr>
          <w:i/>
          <w:iCs/>
        </w:rPr>
        <w:t xml:space="preserve">O. </w:t>
      </w:r>
      <w:proofErr w:type="spellStart"/>
      <w:r w:rsidR="7393B572" w:rsidRPr="0002DDED">
        <w:rPr>
          <w:i/>
          <w:iCs/>
        </w:rPr>
        <w:t>agrili</w:t>
      </w:r>
      <w:proofErr w:type="spellEnd"/>
      <w:r w:rsidR="7393B572">
        <w:t>.  New sites for biocont</w:t>
      </w:r>
      <w:r w:rsidR="30AF3A63">
        <w:t xml:space="preserve">rol releases in 2022 are being evaluated for suitability and will be submitted to APHIS-PPQ for consideration in the program.  </w:t>
      </w:r>
    </w:p>
    <w:p w14:paraId="210803A1" w14:textId="0419D730" w:rsidR="00EE59ED" w:rsidRDefault="00EE59ED" w:rsidP="00ED6144">
      <w:pPr>
        <w:pStyle w:val="Heading2"/>
      </w:pPr>
      <w:r w:rsidRPr="29A70AAA">
        <w:t>Forest Tent Caterpillar</w:t>
      </w:r>
    </w:p>
    <w:p w14:paraId="6E60FC50" w14:textId="36A2011D" w:rsidR="00EE59ED" w:rsidRDefault="00A95AF8" w:rsidP="00ED6144">
      <w:pPr>
        <w:rPr>
          <w:rStyle w:val="eop"/>
          <w:color w:val="000000"/>
          <w:shd w:val="clear" w:color="auto" w:fill="FFFFFF"/>
        </w:rPr>
      </w:pPr>
      <w:r>
        <w:rPr>
          <w:noProof/>
        </w:rPr>
        <w:drawing>
          <wp:anchor distT="0" distB="0" distL="114300" distR="114300" simplePos="0" relativeHeight="251648512" behindDoc="0" locked="0" layoutInCell="1" allowOverlap="1" wp14:anchorId="2249D1B0" wp14:editId="12F72F6C">
            <wp:simplePos x="0" y="0"/>
            <wp:positionH relativeFrom="column">
              <wp:posOffset>771525</wp:posOffset>
            </wp:positionH>
            <wp:positionV relativeFrom="page">
              <wp:posOffset>3410585</wp:posOffset>
            </wp:positionV>
            <wp:extent cx="4437426" cy="2615184"/>
            <wp:effectExtent l="0" t="0" r="1270" b="0"/>
            <wp:wrapTopAndBottom/>
            <wp:docPr id="5" name="Picture 5" descr="Trends in forest tent caterpillar moth catch from pheromone traps in Vermont from 2010-2021.  Average capture was less than 1 moth per trap in 2021.  Much less than the peak of 16 moths per trap during the most recent outbreak in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rends in forest tent caterpillar moth catch from pheromone traps in Vermont from 2010-2021.  Average capture was less than 1 moth per trap in 2021.  Much less than the peak of 16 moths per trap during the most recent outbreak in 2017.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7426" cy="2615184"/>
                    </a:xfrm>
                    <a:prstGeom prst="rect">
                      <a:avLst/>
                    </a:prstGeom>
                    <a:noFill/>
                    <a:ln>
                      <a:noFill/>
                    </a:ln>
                  </pic:spPr>
                </pic:pic>
              </a:graphicData>
            </a:graphic>
            <wp14:sizeRelV relativeFrom="margin">
              <wp14:pctHeight>0</wp14:pctHeight>
            </wp14:sizeRelV>
          </wp:anchor>
        </w:drawing>
      </w:r>
      <w:r w:rsidR="558A89EE">
        <w:rPr>
          <w:rStyle w:val="normaltextrun"/>
          <w:color w:val="000000"/>
          <w:shd w:val="clear" w:color="auto" w:fill="FFFFFF"/>
        </w:rPr>
        <w:t>Forest tent caterpillar (FTC, </w:t>
      </w:r>
      <w:r w:rsidR="558A89EE" w:rsidRPr="5658DD38">
        <w:rPr>
          <w:rStyle w:val="normaltextrun"/>
          <w:i/>
          <w:iCs/>
          <w:color w:val="000000"/>
          <w:shd w:val="clear" w:color="auto" w:fill="FFFFFF"/>
        </w:rPr>
        <w:t>Malacosoma </w:t>
      </w:r>
      <w:proofErr w:type="spellStart"/>
      <w:r w:rsidR="558A89EE" w:rsidRPr="5658DD38">
        <w:rPr>
          <w:rStyle w:val="spellingerror"/>
          <w:i/>
          <w:iCs/>
          <w:color w:val="000000"/>
          <w:shd w:val="clear" w:color="auto" w:fill="FFFFFF"/>
        </w:rPr>
        <w:t>disstria</w:t>
      </w:r>
      <w:proofErr w:type="spellEnd"/>
      <w:r w:rsidR="558A89EE">
        <w:rPr>
          <w:rStyle w:val="normaltextrun"/>
          <w:color w:val="000000"/>
          <w:shd w:val="clear" w:color="auto" w:fill="FFFFFF"/>
        </w:rPr>
        <w:t>) </w:t>
      </w:r>
      <w:r w:rsidR="17CF4C9E">
        <w:rPr>
          <w:rStyle w:val="normaltextrun"/>
          <w:color w:val="000000"/>
          <w:shd w:val="clear" w:color="auto" w:fill="FFFFFF"/>
        </w:rPr>
        <w:t xml:space="preserve">is a </w:t>
      </w:r>
      <w:r w:rsidR="558A89EE">
        <w:rPr>
          <w:rStyle w:val="normaltextrun"/>
          <w:color w:val="000000"/>
          <w:shd w:val="clear" w:color="auto" w:fill="FFFFFF"/>
        </w:rPr>
        <w:t>native hardwood defoliator commonly found feeding on sugar maples and ash in mixed hardwood forests. In consecutive years of severe outbreaks, trees may experience complete defoliation which can lead to dieback and mortality of infested hosts. To track population outbreaks, pheromone traps for FTC were deployed statewide in mid-summer. The number of moths per trap averaged 0.25, evidence that populations are continuing to decrease in Vermont following a 2016-201</w:t>
      </w:r>
      <w:r w:rsidR="658899F8">
        <w:rPr>
          <w:rStyle w:val="normaltextrun"/>
          <w:color w:val="000000"/>
          <w:shd w:val="clear" w:color="auto" w:fill="FFFFFF"/>
        </w:rPr>
        <w:t>8</w:t>
      </w:r>
      <w:r w:rsidR="558A89EE">
        <w:rPr>
          <w:rStyle w:val="normaltextrun"/>
          <w:color w:val="000000"/>
          <w:shd w:val="clear" w:color="auto" w:fill="FFFFFF"/>
        </w:rPr>
        <w:t xml:space="preserve"> outbreak</w:t>
      </w:r>
      <w:r>
        <w:rPr>
          <w:rStyle w:val="normaltextrun"/>
          <w:color w:val="000000"/>
          <w:shd w:val="clear" w:color="auto" w:fill="FFFFFF"/>
        </w:rPr>
        <w:t xml:space="preserve"> (Figure 5)</w:t>
      </w:r>
      <w:r w:rsidR="558A89EE">
        <w:rPr>
          <w:rStyle w:val="normaltextrun"/>
          <w:color w:val="000000"/>
          <w:shd w:val="clear" w:color="auto" w:fill="FFFFFF"/>
        </w:rPr>
        <w:t>.</w:t>
      </w:r>
      <w:r w:rsidR="558A89EE">
        <w:rPr>
          <w:rStyle w:val="eop"/>
          <w:color w:val="000000"/>
          <w:shd w:val="clear" w:color="auto" w:fill="FFFFFF"/>
        </w:rPr>
        <w:t> </w:t>
      </w:r>
    </w:p>
    <w:p w14:paraId="1C254B90" w14:textId="6FA2CD74" w:rsidR="009F0CE1" w:rsidRDefault="009F0CE1" w:rsidP="00ED6144">
      <w:pPr>
        <w:pStyle w:val="Heading2"/>
        <w:rPr>
          <w:bCs/>
          <w:szCs w:val="28"/>
        </w:rPr>
      </w:pPr>
    </w:p>
    <w:p w14:paraId="27143F6C" w14:textId="25983ACF" w:rsidR="009F0CE1" w:rsidRDefault="009F0CE1" w:rsidP="00ED6144">
      <w:pPr>
        <w:pStyle w:val="Heading2"/>
        <w:rPr>
          <w:bCs/>
          <w:szCs w:val="28"/>
        </w:rPr>
      </w:pPr>
    </w:p>
    <w:p w14:paraId="54E26FFD" w14:textId="77777777" w:rsidR="009F0CE1" w:rsidRDefault="009F0CE1" w:rsidP="009F0CE1">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Figure 5.  </w:t>
      </w:r>
      <w:r>
        <w:rPr>
          <w:rStyle w:val="normaltextrun"/>
          <w:rFonts w:ascii="Calibri" w:hAnsi="Calibri" w:cs="Calibri"/>
          <w:color w:val="000000"/>
          <w:shd w:val="clear" w:color="auto" w:fill="FFFFFF"/>
        </w:rPr>
        <w:t>Average number of forest tent caterpillar moths caught in pheromone traps 2010-2021. Three multi-</w:t>
      </w:r>
      <w:proofErr w:type="spellStart"/>
      <w:r>
        <w:rPr>
          <w:rStyle w:val="spellingerror"/>
          <w:rFonts w:ascii="Calibri" w:hAnsi="Calibri" w:cs="Calibri"/>
          <w:color w:val="000000"/>
          <w:shd w:val="clear" w:color="auto" w:fill="FFFFFF"/>
        </w:rPr>
        <w:t>pher</w:t>
      </w:r>
      <w:proofErr w:type="spellEnd"/>
      <w:r>
        <w:rPr>
          <w:rStyle w:val="normaltextrun"/>
          <w:rFonts w:ascii="Calibri" w:hAnsi="Calibri" w:cs="Calibri"/>
          <w:color w:val="000000"/>
          <w:shd w:val="clear" w:color="auto" w:fill="FFFFFF"/>
        </w:rPr>
        <w:t> pheromone traps per site, FTC </w:t>
      </w:r>
      <w:proofErr w:type="spellStart"/>
      <w:r>
        <w:rPr>
          <w:rStyle w:val="spellingerror"/>
          <w:rFonts w:ascii="Calibri" w:hAnsi="Calibri" w:cs="Calibri"/>
          <w:color w:val="000000"/>
          <w:shd w:val="clear" w:color="auto" w:fill="FFFFFF"/>
        </w:rPr>
        <w:t>PheroTech</w:t>
      </w:r>
      <w:proofErr w:type="spellEnd"/>
      <w:r>
        <w:rPr>
          <w:rStyle w:val="normaltextrun"/>
          <w:rFonts w:ascii="Calibri" w:hAnsi="Calibri" w:cs="Calibri"/>
          <w:color w:val="000000"/>
          <w:shd w:val="clear" w:color="auto" w:fill="FFFFFF"/>
        </w:rPr>
        <w:t> lures, were used in 2021.</w:t>
      </w:r>
      <w:r>
        <w:rPr>
          <w:rStyle w:val="eop"/>
          <w:rFonts w:ascii="Calibri" w:hAnsi="Calibri" w:cs="Calibri"/>
          <w:color w:val="000000"/>
          <w:shd w:val="clear" w:color="auto" w:fill="FFFFFF"/>
        </w:rPr>
        <w:t> </w:t>
      </w:r>
    </w:p>
    <w:p w14:paraId="64CAD88C" w14:textId="77777777" w:rsidR="009F0CE1" w:rsidRDefault="009F0CE1" w:rsidP="00ED6144">
      <w:pPr>
        <w:pStyle w:val="Heading2"/>
        <w:rPr>
          <w:bCs/>
          <w:szCs w:val="28"/>
        </w:rPr>
      </w:pPr>
    </w:p>
    <w:p w14:paraId="520A30EF" w14:textId="4ED1E1A8" w:rsidR="00EE59ED" w:rsidRDefault="02D98E80" w:rsidP="00ED6144">
      <w:pPr>
        <w:pStyle w:val="Heading2"/>
        <w:rPr>
          <w:bCs/>
          <w:szCs w:val="28"/>
        </w:rPr>
      </w:pPr>
      <w:r w:rsidRPr="29A70AAA">
        <w:rPr>
          <w:bCs/>
          <w:szCs w:val="28"/>
        </w:rPr>
        <w:t xml:space="preserve">LDD </w:t>
      </w:r>
      <w:r w:rsidR="00EE59ED" w:rsidRPr="29A70AAA">
        <w:rPr>
          <w:bCs/>
          <w:szCs w:val="28"/>
        </w:rPr>
        <w:t>Moth</w:t>
      </w:r>
    </w:p>
    <w:p w14:paraId="64EC3650" w14:textId="21AF8EF9" w:rsidR="67E41EAD" w:rsidRDefault="704E4625" w:rsidP="00ED6144">
      <w:r w:rsidRPr="0002DDED">
        <w:rPr>
          <w:i/>
          <w:iCs/>
        </w:rPr>
        <w:t xml:space="preserve">Lymantria </w:t>
      </w:r>
      <w:proofErr w:type="spellStart"/>
      <w:r w:rsidRPr="0002DDED">
        <w:rPr>
          <w:i/>
          <w:iCs/>
        </w:rPr>
        <w:t>dispar</w:t>
      </w:r>
      <w:proofErr w:type="spellEnd"/>
      <w:r w:rsidRPr="0002DDED">
        <w:rPr>
          <w:i/>
          <w:iCs/>
        </w:rPr>
        <w:t xml:space="preserve"> </w:t>
      </w:r>
      <w:proofErr w:type="spellStart"/>
      <w:r w:rsidRPr="0002DDED">
        <w:rPr>
          <w:i/>
          <w:iCs/>
        </w:rPr>
        <w:t>dispar</w:t>
      </w:r>
      <w:proofErr w:type="spellEnd"/>
      <w:r w:rsidRPr="0002DDED">
        <w:rPr>
          <w:i/>
          <w:iCs/>
        </w:rPr>
        <w:t xml:space="preserve"> </w:t>
      </w:r>
      <w:r>
        <w:t>(LDD) caterpillar population</w:t>
      </w:r>
      <w:r w:rsidR="16FDC6B4">
        <w:t>s</w:t>
      </w:r>
      <w:r>
        <w:t xml:space="preserve"> </w:t>
      </w:r>
      <w:r w:rsidR="102D5EE3">
        <w:t xml:space="preserve">grew dramatically </w:t>
      </w:r>
      <w:r>
        <w:t>this year, r</w:t>
      </w:r>
      <w:r w:rsidR="4F3CD89B">
        <w:t>esul</w:t>
      </w:r>
      <w:r>
        <w:t>ting in the first outbreak of the insect in</w:t>
      </w:r>
      <w:r w:rsidR="1D127DF8">
        <w:t xml:space="preserve"> Vermont in decades.  </w:t>
      </w:r>
      <w:r w:rsidR="22ECC919">
        <w:t xml:space="preserve">Reports of defoliation began in northwestern Vermont </w:t>
      </w:r>
      <w:r w:rsidR="080BD7CB">
        <w:t xml:space="preserve">starting </w:t>
      </w:r>
      <w:r w:rsidR="22ECC919">
        <w:t xml:space="preserve">in late May and continued through the end of June.  By the end of the feeding period, </w:t>
      </w:r>
      <w:r w:rsidR="1B90D7F1">
        <w:t>reports of defoliation were received from all counties in the Lake Champlain valley (i.</w:t>
      </w:r>
      <w:r w:rsidR="0F914DC8">
        <w:t>e., Grand Isle, Franklin, Chittenden, Addison, and Rutland counties).</w:t>
      </w:r>
      <w:r w:rsidR="268EC492">
        <w:t xml:space="preserve">  As expected, oak species suffered most of the defoliation, but </w:t>
      </w:r>
      <w:r w:rsidR="41081E2D">
        <w:t>other hardwoods such as poplar and maple species were affected as well.  C</w:t>
      </w:r>
      <w:r w:rsidR="268EC492">
        <w:t xml:space="preserve">aterpillar populations were high enough that non-preferred hosts were targeted </w:t>
      </w:r>
      <w:r w:rsidR="4E8FD650">
        <w:t>in some cases</w:t>
      </w:r>
      <w:r w:rsidR="268EC492">
        <w:t xml:space="preserve"> (e.g., spruce, hemlock, pine)</w:t>
      </w:r>
      <w:r w:rsidR="78749E97">
        <w:t>.  In total, LDD feeding resulted in 50,945 acres of damage to Vermont forests in 2021</w:t>
      </w:r>
      <w:r w:rsidR="00A95AF8">
        <w:t xml:space="preserve"> (Figure 6, Table 1)</w:t>
      </w:r>
      <w:r w:rsidR="78749E97">
        <w:t>.</w:t>
      </w:r>
    </w:p>
    <w:p w14:paraId="297E6569" w14:textId="77777777" w:rsidR="009F0CE1" w:rsidRDefault="009F0CE1" w:rsidP="00ED6144"/>
    <w:p w14:paraId="72D45F77" w14:textId="6EF2ADE9" w:rsidR="009F0CE1" w:rsidRDefault="00A95AF8" w:rsidP="00ED6144">
      <w:r>
        <w:rPr>
          <w:noProof/>
        </w:rPr>
        <w:lastRenderedPageBreak/>
        <w:drawing>
          <wp:anchor distT="0" distB="0" distL="114300" distR="114300" simplePos="0" relativeHeight="251649536" behindDoc="0" locked="0" layoutInCell="1" allowOverlap="1" wp14:anchorId="2B36A2E8" wp14:editId="637ED7A4">
            <wp:simplePos x="0" y="0"/>
            <wp:positionH relativeFrom="column">
              <wp:posOffset>428625</wp:posOffset>
            </wp:positionH>
            <wp:positionV relativeFrom="page">
              <wp:posOffset>974090</wp:posOffset>
            </wp:positionV>
            <wp:extent cx="5084064" cy="6574536"/>
            <wp:effectExtent l="0" t="0" r="2540" b="0"/>
            <wp:wrapTopAndBottom/>
            <wp:docPr id="6" name="Picture 6" descr="Locations of defoliation by Lymantria dispar dispar in Vermont in 2021.  Most defoliation occurred in western Vermont, throughout the Champlain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cations of defoliation by Lymantria dispar dispar in Vermont in 2021.  Most defoliation occurred in western Vermont, throughout the Champlain Valle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4064" cy="65745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C9407" w14:textId="4DA93212" w:rsidR="009F0CE1" w:rsidRDefault="009F0CE1" w:rsidP="009F0CE1">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Figure 6.</w:t>
      </w:r>
      <w:r>
        <w:rPr>
          <w:rStyle w:val="normaltextrun"/>
          <w:rFonts w:ascii="Calibri" w:hAnsi="Calibri" w:cs="Calibri"/>
          <w:color w:val="000000"/>
          <w:shd w:val="clear" w:color="auto" w:fill="FFFFFF"/>
        </w:rPr>
        <w:t>  Areas of </w:t>
      </w:r>
      <w:r>
        <w:rPr>
          <w:rStyle w:val="normaltextrun"/>
          <w:rFonts w:ascii="Calibri" w:hAnsi="Calibri" w:cs="Calibri"/>
          <w:i/>
          <w:iCs/>
          <w:color w:val="000000"/>
          <w:shd w:val="clear" w:color="auto" w:fill="FFFFFF"/>
        </w:rPr>
        <w:t>Lymantria </w:t>
      </w:r>
      <w:proofErr w:type="spellStart"/>
      <w:r>
        <w:rPr>
          <w:rStyle w:val="spellingerror"/>
          <w:rFonts w:ascii="Calibri" w:hAnsi="Calibri" w:cs="Calibri"/>
          <w:i/>
          <w:iCs/>
          <w:color w:val="000000"/>
          <w:shd w:val="clear" w:color="auto" w:fill="FFFFFF"/>
        </w:rPr>
        <w:t>dispar</w:t>
      </w:r>
      <w:proofErr w:type="spellEnd"/>
      <w:r>
        <w:rPr>
          <w:rStyle w:val="normaltextrun"/>
          <w:rFonts w:ascii="Calibri" w:hAnsi="Calibri" w:cs="Calibri"/>
          <w:i/>
          <w:iCs/>
          <w:color w:val="000000"/>
          <w:shd w:val="clear" w:color="auto" w:fill="FFFFFF"/>
        </w:rPr>
        <w:t> </w:t>
      </w:r>
      <w:proofErr w:type="spellStart"/>
      <w:r>
        <w:rPr>
          <w:rStyle w:val="spellingerror"/>
          <w:rFonts w:ascii="Calibri" w:hAnsi="Calibri" w:cs="Calibri"/>
          <w:i/>
          <w:iCs/>
          <w:color w:val="000000"/>
          <w:shd w:val="clear" w:color="auto" w:fill="FFFFFF"/>
        </w:rPr>
        <w:t>dispar</w:t>
      </w:r>
      <w:proofErr w:type="spellEnd"/>
      <w:r>
        <w:rPr>
          <w:rStyle w:val="normaltextrun"/>
          <w:rFonts w:ascii="Calibri" w:hAnsi="Calibri" w:cs="Calibri"/>
          <w:color w:val="000000"/>
          <w:shd w:val="clear" w:color="auto" w:fill="FFFFFF"/>
        </w:rPr>
        <w:t> defoliation in Vermont in 2021 mapped during aerial detection surveys.  In total, 50,945 acres were affected in the state.</w:t>
      </w:r>
      <w:r>
        <w:rPr>
          <w:rStyle w:val="eop"/>
          <w:rFonts w:ascii="Calibri" w:hAnsi="Calibri" w:cs="Calibri"/>
          <w:color w:val="000000"/>
          <w:shd w:val="clear" w:color="auto" w:fill="FFFFFF"/>
        </w:rPr>
        <w:t> </w:t>
      </w:r>
    </w:p>
    <w:p w14:paraId="75BC46F4" w14:textId="02ABF2F1" w:rsidR="22FC9D4A" w:rsidRDefault="0D81E2D3" w:rsidP="00ED6144">
      <w:r>
        <w:t>We continue to monitor long-term LDD plots (9) for egg mass abundance and size</w:t>
      </w:r>
      <w:r w:rsidR="6C785A1F">
        <w:t xml:space="preserve"> to inform the public on what to expect in 2022 for defoliation. Additional transect </w:t>
      </w:r>
      <w:r w:rsidR="75CA7438">
        <w:t xml:space="preserve">surveys </w:t>
      </w:r>
      <w:r w:rsidR="6C785A1F">
        <w:t>have been added in 2021 to cover a greater geographic exten</w:t>
      </w:r>
      <w:r w:rsidR="2EDE0DF0">
        <w:t xml:space="preserve">t as well.  </w:t>
      </w:r>
      <w:r w:rsidR="58701007">
        <w:t>Available data suggests that we can expect a</w:t>
      </w:r>
      <w:r w:rsidR="641331BC">
        <w:t>nother</w:t>
      </w:r>
      <w:r w:rsidR="58701007">
        <w:t xml:space="preserve"> year of high </w:t>
      </w:r>
      <w:r w:rsidR="58701007">
        <w:lastRenderedPageBreak/>
        <w:t xml:space="preserve">defoliation in 2022 unless natural enemies and environmental conditions reduce caterpillar </w:t>
      </w:r>
      <w:r w:rsidR="746BB044">
        <w:t>surviva</w:t>
      </w:r>
      <w:r w:rsidR="126BF18C">
        <w:t>l</w:t>
      </w:r>
      <w:r w:rsidR="58701007">
        <w:t>. Full survey r</w:t>
      </w:r>
      <w:r w:rsidR="2EDE0DF0">
        <w:t>esults are expected by the end of 2021 and will be made publicly available.</w:t>
      </w:r>
    </w:p>
    <w:p w14:paraId="7DDAAB61" w14:textId="77777777" w:rsidR="002213DD" w:rsidRDefault="002213DD" w:rsidP="002213DD">
      <w:pPr>
        <w:rPr>
          <w:b/>
          <w:bCs/>
        </w:rPr>
      </w:pPr>
      <w:r>
        <w:rPr>
          <w:rStyle w:val="normaltextrun"/>
          <w:rFonts w:ascii="Calibri" w:hAnsi="Calibri" w:cs="Calibri"/>
          <w:b/>
          <w:bCs/>
          <w:color w:val="000000"/>
          <w:shd w:val="clear" w:color="auto" w:fill="FFFFFF"/>
        </w:rPr>
        <w:t>Table 1.</w:t>
      </w:r>
      <w:r>
        <w:rPr>
          <w:rStyle w:val="normaltextrun"/>
          <w:rFonts w:ascii="Calibri" w:hAnsi="Calibri" w:cs="Calibri"/>
          <w:color w:val="000000"/>
          <w:shd w:val="clear" w:color="auto" w:fill="FFFFFF"/>
        </w:rPr>
        <w:t>  Acres of LDD defoliation by county in 2021.</w:t>
      </w:r>
      <w:r>
        <w:rPr>
          <w:rStyle w:val="eop"/>
          <w:rFonts w:ascii="Calibri" w:hAnsi="Calibri" w:cs="Calibri"/>
          <w:color w:val="000000"/>
          <w:shd w:val="clear" w:color="auto" w:fill="FFFFFF"/>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0"/>
        <w:gridCol w:w="3105"/>
      </w:tblGrid>
      <w:tr w:rsidR="002213DD" w:rsidRPr="00FA62B6" w14:paraId="0318EBF7" w14:textId="77777777" w:rsidTr="00A95AF8">
        <w:trPr>
          <w:trHeight w:val="300"/>
          <w:tblHeader/>
          <w:jc w:val="center"/>
        </w:trPr>
        <w:tc>
          <w:tcPr>
            <w:tcW w:w="1710" w:type="dxa"/>
            <w:tcBorders>
              <w:top w:val="single" w:sz="6" w:space="0" w:color="auto"/>
              <w:left w:val="nil"/>
              <w:bottom w:val="single" w:sz="6" w:space="0" w:color="auto"/>
              <w:right w:val="nil"/>
            </w:tcBorders>
            <w:shd w:val="clear" w:color="auto" w:fill="auto"/>
            <w:vAlign w:val="bottom"/>
            <w:hideMark/>
          </w:tcPr>
          <w:p w14:paraId="48ED9C74" w14:textId="77777777" w:rsidR="002213DD" w:rsidRPr="00FA62B6" w:rsidRDefault="002213DD"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County </w:t>
            </w:r>
          </w:p>
        </w:tc>
        <w:tc>
          <w:tcPr>
            <w:tcW w:w="3105" w:type="dxa"/>
            <w:tcBorders>
              <w:top w:val="single" w:sz="6" w:space="0" w:color="auto"/>
              <w:left w:val="nil"/>
              <w:bottom w:val="single" w:sz="6" w:space="0" w:color="auto"/>
              <w:right w:val="nil"/>
            </w:tcBorders>
            <w:shd w:val="clear" w:color="auto" w:fill="auto"/>
            <w:vAlign w:val="bottom"/>
            <w:hideMark/>
          </w:tcPr>
          <w:p w14:paraId="5E97DD7D" w14:textId="77777777" w:rsidR="002213DD" w:rsidRPr="00FA62B6" w:rsidRDefault="002213DD" w:rsidP="004E58AF">
            <w:pPr>
              <w:spacing w:after="0" w:line="240" w:lineRule="auto"/>
              <w:jc w:val="right"/>
              <w:textAlignment w:val="baseline"/>
              <w:rPr>
                <w:rFonts w:ascii="Segoe UI" w:eastAsia="Times New Roman" w:hAnsi="Segoe UI" w:cs="Segoe UI"/>
                <w:sz w:val="18"/>
                <w:szCs w:val="18"/>
              </w:rPr>
            </w:pPr>
            <w:r w:rsidRPr="3DF5335A">
              <w:rPr>
                <w:rFonts w:ascii="Calibri" w:eastAsia="Times New Roman" w:hAnsi="Calibri" w:cs="Calibri"/>
                <w:color w:val="000000" w:themeColor="text1"/>
              </w:rPr>
              <w:t>LDD defoliation (acres) </w:t>
            </w:r>
          </w:p>
        </w:tc>
      </w:tr>
      <w:tr w:rsidR="002213DD" w:rsidRPr="00FA62B6" w14:paraId="5D98FF08" w14:textId="77777777" w:rsidTr="00A95AF8">
        <w:trPr>
          <w:trHeight w:val="300"/>
          <w:tblHeader/>
          <w:jc w:val="center"/>
        </w:trPr>
        <w:tc>
          <w:tcPr>
            <w:tcW w:w="1710" w:type="dxa"/>
            <w:tcBorders>
              <w:top w:val="nil"/>
              <w:left w:val="nil"/>
              <w:bottom w:val="nil"/>
              <w:right w:val="nil"/>
            </w:tcBorders>
            <w:shd w:val="clear" w:color="auto" w:fill="auto"/>
            <w:vAlign w:val="bottom"/>
            <w:hideMark/>
          </w:tcPr>
          <w:p w14:paraId="6E211741" w14:textId="77777777" w:rsidR="002213DD" w:rsidRPr="00FA62B6" w:rsidRDefault="002213DD"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ADDISON </w:t>
            </w:r>
          </w:p>
        </w:tc>
        <w:tc>
          <w:tcPr>
            <w:tcW w:w="3105" w:type="dxa"/>
            <w:tcBorders>
              <w:top w:val="nil"/>
              <w:left w:val="nil"/>
              <w:bottom w:val="nil"/>
              <w:right w:val="nil"/>
            </w:tcBorders>
            <w:shd w:val="clear" w:color="auto" w:fill="auto"/>
            <w:vAlign w:val="bottom"/>
            <w:hideMark/>
          </w:tcPr>
          <w:p w14:paraId="0685FF1F" w14:textId="77777777" w:rsidR="002213DD" w:rsidRPr="00FA62B6" w:rsidRDefault="002213DD" w:rsidP="004E58AF">
            <w:pPr>
              <w:spacing w:after="0" w:line="240" w:lineRule="auto"/>
              <w:jc w:val="right"/>
              <w:textAlignment w:val="baseline"/>
              <w:rPr>
                <w:rFonts w:ascii="Segoe UI" w:eastAsia="Times New Roman" w:hAnsi="Segoe UI" w:cs="Segoe UI"/>
                <w:sz w:val="18"/>
                <w:szCs w:val="18"/>
              </w:rPr>
            </w:pPr>
            <w:r w:rsidRPr="00FA62B6">
              <w:rPr>
                <w:rFonts w:ascii="Calibri" w:eastAsia="Times New Roman" w:hAnsi="Calibri" w:cs="Calibri"/>
                <w:color w:val="000000"/>
              </w:rPr>
              <w:t>10579 </w:t>
            </w:r>
          </w:p>
        </w:tc>
      </w:tr>
      <w:tr w:rsidR="002213DD" w:rsidRPr="00FA62B6" w14:paraId="18BA9737" w14:textId="77777777" w:rsidTr="00A95AF8">
        <w:trPr>
          <w:trHeight w:val="300"/>
          <w:tblHeader/>
          <w:jc w:val="center"/>
        </w:trPr>
        <w:tc>
          <w:tcPr>
            <w:tcW w:w="1710" w:type="dxa"/>
            <w:tcBorders>
              <w:top w:val="nil"/>
              <w:left w:val="nil"/>
              <w:bottom w:val="nil"/>
              <w:right w:val="nil"/>
            </w:tcBorders>
            <w:shd w:val="clear" w:color="auto" w:fill="auto"/>
            <w:vAlign w:val="bottom"/>
            <w:hideMark/>
          </w:tcPr>
          <w:p w14:paraId="517CCDA4" w14:textId="77777777" w:rsidR="002213DD" w:rsidRPr="00FA62B6" w:rsidRDefault="002213DD"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BENNINGTON </w:t>
            </w:r>
          </w:p>
        </w:tc>
        <w:tc>
          <w:tcPr>
            <w:tcW w:w="3105" w:type="dxa"/>
            <w:tcBorders>
              <w:top w:val="nil"/>
              <w:left w:val="nil"/>
              <w:bottom w:val="nil"/>
              <w:right w:val="nil"/>
            </w:tcBorders>
            <w:shd w:val="clear" w:color="auto" w:fill="auto"/>
            <w:vAlign w:val="bottom"/>
            <w:hideMark/>
          </w:tcPr>
          <w:p w14:paraId="3BE9F075" w14:textId="77777777" w:rsidR="002213DD" w:rsidRPr="00FA62B6" w:rsidRDefault="002213DD" w:rsidP="004E58AF">
            <w:pPr>
              <w:spacing w:after="0" w:line="240" w:lineRule="auto"/>
              <w:jc w:val="right"/>
              <w:textAlignment w:val="baseline"/>
              <w:rPr>
                <w:rFonts w:ascii="Segoe UI" w:eastAsia="Times New Roman" w:hAnsi="Segoe UI" w:cs="Segoe UI"/>
                <w:sz w:val="18"/>
                <w:szCs w:val="18"/>
              </w:rPr>
            </w:pPr>
            <w:r w:rsidRPr="00FA62B6">
              <w:rPr>
                <w:rFonts w:ascii="Calibri" w:eastAsia="Times New Roman" w:hAnsi="Calibri" w:cs="Calibri"/>
                <w:color w:val="000000"/>
              </w:rPr>
              <w:t>31 </w:t>
            </w:r>
          </w:p>
        </w:tc>
      </w:tr>
      <w:tr w:rsidR="002213DD" w:rsidRPr="00FA62B6" w14:paraId="290F3480" w14:textId="77777777" w:rsidTr="00A95AF8">
        <w:trPr>
          <w:trHeight w:val="300"/>
          <w:tblHeader/>
          <w:jc w:val="center"/>
        </w:trPr>
        <w:tc>
          <w:tcPr>
            <w:tcW w:w="1710" w:type="dxa"/>
            <w:tcBorders>
              <w:top w:val="nil"/>
              <w:left w:val="nil"/>
              <w:bottom w:val="nil"/>
              <w:right w:val="nil"/>
            </w:tcBorders>
            <w:shd w:val="clear" w:color="auto" w:fill="auto"/>
            <w:vAlign w:val="bottom"/>
            <w:hideMark/>
          </w:tcPr>
          <w:p w14:paraId="4947E33C" w14:textId="77777777" w:rsidR="002213DD" w:rsidRPr="00FA62B6" w:rsidRDefault="002213DD"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CALEDONIA </w:t>
            </w:r>
          </w:p>
        </w:tc>
        <w:tc>
          <w:tcPr>
            <w:tcW w:w="3105" w:type="dxa"/>
            <w:tcBorders>
              <w:top w:val="nil"/>
              <w:left w:val="nil"/>
              <w:bottom w:val="nil"/>
              <w:right w:val="nil"/>
            </w:tcBorders>
            <w:shd w:val="clear" w:color="auto" w:fill="auto"/>
            <w:vAlign w:val="bottom"/>
            <w:hideMark/>
          </w:tcPr>
          <w:p w14:paraId="65E54EDC" w14:textId="77777777" w:rsidR="002213DD" w:rsidRPr="00FA62B6" w:rsidRDefault="002213DD" w:rsidP="004E58AF">
            <w:pPr>
              <w:spacing w:after="0" w:line="240" w:lineRule="auto"/>
              <w:jc w:val="right"/>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r>
      <w:tr w:rsidR="002213DD" w:rsidRPr="00FA62B6" w14:paraId="14EF9CE2" w14:textId="77777777" w:rsidTr="00A95AF8">
        <w:trPr>
          <w:trHeight w:val="300"/>
          <w:tblHeader/>
          <w:jc w:val="center"/>
        </w:trPr>
        <w:tc>
          <w:tcPr>
            <w:tcW w:w="1710" w:type="dxa"/>
            <w:tcBorders>
              <w:top w:val="nil"/>
              <w:left w:val="nil"/>
              <w:bottom w:val="nil"/>
              <w:right w:val="nil"/>
            </w:tcBorders>
            <w:shd w:val="clear" w:color="auto" w:fill="auto"/>
            <w:vAlign w:val="bottom"/>
            <w:hideMark/>
          </w:tcPr>
          <w:p w14:paraId="475DDF87" w14:textId="77777777" w:rsidR="002213DD" w:rsidRPr="00FA62B6" w:rsidRDefault="002213DD"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CHITTENDEN </w:t>
            </w:r>
          </w:p>
        </w:tc>
        <w:tc>
          <w:tcPr>
            <w:tcW w:w="3105" w:type="dxa"/>
            <w:tcBorders>
              <w:top w:val="nil"/>
              <w:left w:val="nil"/>
              <w:bottom w:val="nil"/>
              <w:right w:val="nil"/>
            </w:tcBorders>
            <w:shd w:val="clear" w:color="auto" w:fill="auto"/>
            <w:vAlign w:val="bottom"/>
            <w:hideMark/>
          </w:tcPr>
          <w:p w14:paraId="77550D64" w14:textId="77777777" w:rsidR="002213DD" w:rsidRPr="00FA62B6" w:rsidRDefault="002213DD" w:rsidP="004E58AF">
            <w:pPr>
              <w:spacing w:after="0" w:line="240" w:lineRule="auto"/>
              <w:jc w:val="right"/>
              <w:textAlignment w:val="baseline"/>
              <w:rPr>
                <w:rFonts w:ascii="Segoe UI" w:eastAsia="Times New Roman" w:hAnsi="Segoe UI" w:cs="Segoe UI"/>
                <w:sz w:val="18"/>
                <w:szCs w:val="18"/>
              </w:rPr>
            </w:pPr>
            <w:r w:rsidRPr="00FA62B6">
              <w:rPr>
                <w:rFonts w:ascii="Calibri" w:eastAsia="Times New Roman" w:hAnsi="Calibri" w:cs="Calibri"/>
                <w:color w:val="000000"/>
              </w:rPr>
              <w:t>18134 </w:t>
            </w:r>
          </w:p>
        </w:tc>
      </w:tr>
      <w:tr w:rsidR="002213DD" w:rsidRPr="00FA62B6" w14:paraId="233FC854" w14:textId="77777777" w:rsidTr="00A95AF8">
        <w:trPr>
          <w:trHeight w:val="300"/>
          <w:tblHeader/>
          <w:jc w:val="center"/>
        </w:trPr>
        <w:tc>
          <w:tcPr>
            <w:tcW w:w="1710" w:type="dxa"/>
            <w:tcBorders>
              <w:top w:val="nil"/>
              <w:left w:val="nil"/>
              <w:bottom w:val="nil"/>
              <w:right w:val="nil"/>
            </w:tcBorders>
            <w:shd w:val="clear" w:color="auto" w:fill="auto"/>
            <w:vAlign w:val="bottom"/>
            <w:hideMark/>
          </w:tcPr>
          <w:p w14:paraId="47623EC7" w14:textId="77777777" w:rsidR="002213DD" w:rsidRPr="00FA62B6" w:rsidRDefault="002213DD"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ESSEX </w:t>
            </w:r>
          </w:p>
        </w:tc>
        <w:tc>
          <w:tcPr>
            <w:tcW w:w="3105" w:type="dxa"/>
            <w:tcBorders>
              <w:top w:val="nil"/>
              <w:left w:val="nil"/>
              <w:bottom w:val="nil"/>
              <w:right w:val="nil"/>
            </w:tcBorders>
            <w:shd w:val="clear" w:color="auto" w:fill="auto"/>
            <w:vAlign w:val="bottom"/>
            <w:hideMark/>
          </w:tcPr>
          <w:p w14:paraId="1F0F265F" w14:textId="77777777" w:rsidR="002213DD" w:rsidRPr="00FA62B6" w:rsidRDefault="002213DD" w:rsidP="004E58AF">
            <w:pPr>
              <w:spacing w:after="0" w:line="240" w:lineRule="auto"/>
              <w:jc w:val="right"/>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r>
      <w:tr w:rsidR="002213DD" w:rsidRPr="00FA62B6" w14:paraId="0D83D587" w14:textId="77777777" w:rsidTr="00A95AF8">
        <w:trPr>
          <w:trHeight w:val="300"/>
          <w:tblHeader/>
          <w:jc w:val="center"/>
        </w:trPr>
        <w:tc>
          <w:tcPr>
            <w:tcW w:w="1710" w:type="dxa"/>
            <w:tcBorders>
              <w:top w:val="nil"/>
              <w:left w:val="nil"/>
              <w:bottom w:val="nil"/>
              <w:right w:val="nil"/>
            </w:tcBorders>
            <w:shd w:val="clear" w:color="auto" w:fill="auto"/>
            <w:vAlign w:val="bottom"/>
            <w:hideMark/>
          </w:tcPr>
          <w:p w14:paraId="60F512BC" w14:textId="77777777" w:rsidR="002213DD" w:rsidRPr="00FA62B6" w:rsidRDefault="002213DD"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FRANKLIN </w:t>
            </w:r>
          </w:p>
        </w:tc>
        <w:tc>
          <w:tcPr>
            <w:tcW w:w="3105" w:type="dxa"/>
            <w:tcBorders>
              <w:top w:val="nil"/>
              <w:left w:val="nil"/>
              <w:bottom w:val="nil"/>
              <w:right w:val="nil"/>
            </w:tcBorders>
            <w:shd w:val="clear" w:color="auto" w:fill="auto"/>
            <w:vAlign w:val="bottom"/>
            <w:hideMark/>
          </w:tcPr>
          <w:p w14:paraId="34DC966E" w14:textId="77777777" w:rsidR="002213DD" w:rsidRPr="00FA62B6" w:rsidRDefault="002213DD" w:rsidP="004E58AF">
            <w:pPr>
              <w:spacing w:after="0" w:line="240" w:lineRule="auto"/>
              <w:jc w:val="right"/>
              <w:textAlignment w:val="baseline"/>
              <w:rPr>
                <w:rFonts w:ascii="Segoe UI" w:eastAsia="Times New Roman" w:hAnsi="Segoe UI" w:cs="Segoe UI"/>
                <w:sz w:val="18"/>
                <w:szCs w:val="18"/>
              </w:rPr>
            </w:pPr>
            <w:r w:rsidRPr="00FA62B6">
              <w:rPr>
                <w:rFonts w:ascii="Calibri" w:eastAsia="Times New Roman" w:hAnsi="Calibri" w:cs="Calibri"/>
                <w:color w:val="000000"/>
              </w:rPr>
              <w:t>9137 </w:t>
            </w:r>
          </w:p>
        </w:tc>
      </w:tr>
      <w:tr w:rsidR="002213DD" w:rsidRPr="00FA62B6" w14:paraId="110ABB45" w14:textId="77777777" w:rsidTr="00A95AF8">
        <w:trPr>
          <w:trHeight w:val="300"/>
          <w:tblHeader/>
          <w:jc w:val="center"/>
        </w:trPr>
        <w:tc>
          <w:tcPr>
            <w:tcW w:w="1710" w:type="dxa"/>
            <w:tcBorders>
              <w:top w:val="nil"/>
              <w:left w:val="nil"/>
              <w:bottom w:val="nil"/>
              <w:right w:val="nil"/>
            </w:tcBorders>
            <w:shd w:val="clear" w:color="auto" w:fill="auto"/>
            <w:vAlign w:val="bottom"/>
            <w:hideMark/>
          </w:tcPr>
          <w:p w14:paraId="15A34E2C" w14:textId="77777777" w:rsidR="002213DD" w:rsidRPr="00FA62B6" w:rsidRDefault="002213DD"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GRAND ISLE </w:t>
            </w:r>
          </w:p>
        </w:tc>
        <w:tc>
          <w:tcPr>
            <w:tcW w:w="3105" w:type="dxa"/>
            <w:tcBorders>
              <w:top w:val="nil"/>
              <w:left w:val="nil"/>
              <w:bottom w:val="nil"/>
              <w:right w:val="nil"/>
            </w:tcBorders>
            <w:shd w:val="clear" w:color="auto" w:fill="auto"/>
            <w:vAlign w:val="bottom"/>
            <w:hideMark/>
          </w:tcPr>
          <w:p w14:paraId="34FAB551" w14:textId="77777777" w:rsidR="002213DD" w:rsidRPr="00FA62B6" w:rsidRDefault="002213DD" w:rsidP="004E58AF">
            <w:pPr>
              <w:spacing w:after="0" w:line="240" w:lineRule="auto"/>
              <w:jc w:val="right"/>
              <w:textAlignment w:val="baseline"/>
              <w:rPr>
                <w:rFonts w:ascii="Segoe UI" w:eastAsia="Times New Roman" w:hAnsi="Segoe UI" w:cs="Segoe UI"/>
                <w:sz w:val="18"/>
                <w:szCs w:val="18"/>
              </w:rPr>
            </w:pPr>
            <w:r w:rsidRPr="00FA62B6">
              <w:rPr>
                <w:rFonts w:ascii="Calibri" w:eastAsia="Times New Roman" w:hAnsi="Calibri" w:cs="Calibri"/>
                <w:color w:val="000000"/>
              </w:rPr>
              <w:t>216 </w:t>
            </w:r>
          </w:p>
        </w:tc>
      </w:tr>
      <w:tr w:rsidR="002213DD" w:rsidRPr="00FA62B6" w14:paraId="0E278AD2" w14:textId="77777777" w:rsidTr="00A95AF8">
        <w:trPr>
          <w:trHeight w:val="300"/>
          <w:tblHeader/>
          <w:jc w:val="center"/>
        </w:trPr>
        <w:tc>
          <w:tcPr>
            <w:tcW w:w="1710" w:type="dxa"/>
            <w:tcBorders>
              <w:top w:val="nil"/>
              <w:left w:val="nil"/>
              <w:bottom w:val="nil"/>
              <w:right w:val="nil"/>
            </w:tcBorders>
            <w:shd w:val="clear" w:color="auto" w:fill="auto"/>
            <w:vAlign w:val="bottom"/>
            <w:hideMark/>
          </w:tcPr>
          <w:p w14:paraId="63BF0D8C" w14:textId="77777777" w:rsidR="002213DD" w:rsidRPr="00FA62B6" w:rsidRDefault="002213DD"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LAMOILLE </w:t>
            </w:r>
          </w:p>
        </w:tc>
        <w:tc>
          <w:tcPr>
            <w:tcW w:w="3105" w:type="dxa"/>
            <w:tcBorders>
              <w:top w:val="nil"/>
              <w:left w:val="nil"/>
              <w:bottom w:val="nil"/>
              <w:right w:val="nil"/>
            </w:tcBorders>
            <w:shd w:val="clear" w:color="auto" w:fill="auto"/>
            <w:vAlign w:val="bottom"/>
            <w:hideMark/>
          </w:tcPr>
          <w:p w14:paraId="337798A4" w14:textId="77777777" w:rsidR="002213DD" w:rsidRPr="00FA62B6" w:rsidRDefault="002213DD" w:rsidP="004E58AF">
            <w:pPr>
              <w:spacing w:after="0" w:line="240" w:lineRule="auto"/>
              <w:jc w:val="right"/>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r>
      <w:tr w:rsidR="002213DD" w:rsidRPr="00FA62B6" w14:paraId="5E8CD6B5" w14:textId="77777777" w:rsidTr="00A95AF8">
        <w:trPr>
          <w:trHeight w:val="300"/>
          <w:tblHeader/>
          <w:jc w:val="center"/>
        </w:trPr>
        <w:tc>
          <w:tcPr>
            <w:tcW w:w="1710" w:type="dxa"/>
            <w:tcBorders>
              <w:top w:val="nil"/>
              <w:left w:val="nil"/>
              <w:bottom w:val="nil"/>
              <w:right w:val="nil"/>
            </w:tcBorders>
            <w:shd w:val="clear" w:color="auto" w:fill="auto"/>
            <w:vAlign w:val="bottom"/>
            <w:hideMark/>
          </w:tcPr>
          <w:p w14:paraId="1E055975" w14:textId="77777777" w:rsidR="002213DD" w:rsidRPr="00FA62B6" w:rsidRDefault="002213DD"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ORANGE </w:t>
            </w:r>
          </w:p>
        </w:tc>
        <w:tc>
          <w:tcPr>
            <w:tcW w:w="3105" w:type="dxa"/>
            <w:tcBorders>
              <w:top w:val="nil"/>
              <w:left w:val="nil"/>
              <w:bottom w:val="nil"/>
              <w:right w:val="nil"/>
            </w:tcBorders>
            <w:shd w:val="clear" w:color="auto" w:fill="auto"/>
            <w:vAlign w:val="bottom"/>
            <w:hideMark/>
          </w:tcPr>
          <w:p w14:paraId="4E4595B3" w14:textId="77777777" w:rsidR="002213DD" w:rsidRPr="00FA62B6" w:rsidRDefault="002213DD" w:rsidP="004E58AF">
            <w:pPr>
              <w:spacing w:after="0" w:line="240" w:lineRule="auto"/>
              <w:jc w:val="right"/>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r>
      <w:tr w:rsidR="002213DD" w:rsidRPr="00FA62B6" w14:paraId="4AE9A8DD" w14:textId="77777777" w:rsidTr="00A95AF8">
        <w:trPr>
          <w:trHeight w:val="300"/>
          <w:tblHeader/>
          <w:jc w:val="center"/>
        </w:trPr>
        <w:tc>
          <w:tcPr>
            <w:tcW w:w="1710" w:type="dxa"/>
            <w:tcBorders>
              <w:top w:val="nil"/>
              <w:left w:val="nil"/>
              <w:bottom w:val="nil"/>
              <w:right w:val="nil"/>
            </w:tcBorders>
            <w:shd w:val="clear" w:color="auto" w:fill="auto"/>
            <w:vAlign w:val="bottom"/>
            <w:hideMark/>
          </w:tcPr>
          <w:p w14:paraId="5C15C00F" w14:textId="77777777" w:rsidR="002213DD" w:rsidRPr="00FA62B6" w:rsidRDefault="002213DD"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ORLEANS </w:t>
            </w:r>
          </w:p>
        </w:tc>
        <w:tc>
          <w:tcPr>
            <w:tcW w:w="3105" w:type="dxa"/>
            <w:tcBorders>
              <w:top w:val="nil"/>
              <w:left w:val="nil"/>
              <w:bottom w:val="nil"/>
              <w:right w:val="nil"/>
            </w:tcBorders>
            <w:shd w:val="clear" w:color="auto" w:fill="auto"/>
            <w:vAlign w:val="bottom"/>
            <w:hideMark/>
          </w:tcPr>
          <w:p w14:paraId="4975E547" w14:textId="77777777" w:rsidR="002213DD" w:rsidRPr="00FA62B6" w:rsidRDefault="002213DD" w:rsidP="004E58AF">
            <w:pPr>
              <w:spacing w:after="0" w:line="240" w:lineRule="auto"/>
              <w:jc w:val="right"/>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r>
      <w:tr w:rsidR="002213DD" w:rsidRPr="00FA62B6" w14:paraId="66BE1526" w14:textId="77777777" w:rsidTr="00A95AF8">
        <w:trPr>
          <w:trHeight w:val="300"/>
          <w:tblHeader/>
          <w:jc w:val="center"/>
        </w:trPr>
        <w:tc>
          <w:tcPr>
            <w:tcW w:w="1710" w:type="dxa"/>
            <w:tcBorders>
              <w:top w:val="nil"/>
              <w:left w:val="nil"/>
              <w:bottom w:val="nil"/>
              <w:right w:val="nil"/>
            </w:tcBorders>
            <w:shd w:val="clear" w:color="auto" w:fill="auto"/>
            <w:vAlign w:val="bottom"/>
            <w:hideMark/>
          </w:tcPr>
          <w:p w14:paraId="00FFF87C" w14:textId="77777777" w:rsidR="002213DD" w:rsidRPr="00FA62B6" w:rsidRDefault="002213DD"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RUTLAND </w:t>
            </w:r>
          </w:p>
        </w:tc>
        <w:tc>
          <w:tcPr>
            <w:tcW w:w="3105" w:type="dxa"/>
            <w:tcBorders>
              <w:top w:val="nil"/>
              <w:left w:val="nil"/>
              <w:bottom w:val="nil"/>
              <w:right w:val="nil"/>
            </w:tcBorders>
            <w:shd w:val="clear" w:color="auto" w:fill="auto"/>
            <w:vAlign w:val="bottom"/>
            <w:hideMark/>
          </w:tcPr>
          <w:p w14:paraId="76EC6A7C" w14:textId="77777777" w:rsidR="002213DD" w:rsidRPr="00FA62B6" w:rsidRDefault="002213DD" w:rsidP="004E58AF">
            <w:pPr>
              <w:spacing w:after="0" w:line="240" w:lineRule="auto"/>
              <w:jc w:val="right"/>
              <w:textAlignment w:val="baseline"/>
              <w:rPr>
                <w:rFonts w:ascii="Segoe UI" w:eastAsia="Times New Roman" w:hAnsi="Segoe UI" w:cs="Segoe UI"/>
                <w:sz w:val="18"/>
                <w:szCs w:val="18"/>
              </w:rPr>
            </w:pPr>
            <w:r w:rsidRPr="00FA62B6">
              <w:rPr>
                <w:rFonts w:ascii="Calibri" w:eastAsia="Times New Roman" w:hAnsi="Calibri" w:cs="Calibri"/>
                <w:color w:val="000000"/>
              </w:rPr>
              <w:t>12848 </w:t>
            </w:r>
          </w:p>
        </w:tc>
      </w:tr>
      <w:tr w:rsidR="002213DD" w:rsidRPr="00FA62B6" w14:paraId="6C170739" w14:textId="77777777" w:rsidTr="00A95AF8">
        <w:trPr>
          <w:trHeight w:val="300"/>
          <w:tblHeader/>
          <w:jc w:val="center"/>
        </w:trPr>
        <w:tc>
          <w:tcPr>
            <w:tcW w:w="1710" w:type="dxa"/>
            <w:tcBorders>
              <w:top w:val="nil"/>
              <w:left w:val="nil"/>
              <w:bottom w:val="nil"/>
              <w:right w:val="nil"/>
            </w:tcBorders>
            <w:shd w:val="clear" w:color="auto" w:fill="auto"/>
            <w:vAlign w:val="bottom"/>
            <w:hideMark/>
          </w:tcPr>
          <w:p w14:paraId="253E5329" w14:textId="77777777" w:rsidR="002213DD" w:rsidRPr="00FA62B6" w:rsidRDefault="002213DD"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WASHINGTON </w:t>
            </w:r>
          </w:p>
        </w:tc>
        <w:tc>
          <w:tcPr>
            <w:tcW w:w="3105" w:type="dxa"/>
            <w:tcBorders>
              <w:top w:val="nil"/>
              <w:left w:val="nil"/>
              <w:bottom w:val="nil"/>
              <w:right w:val="nil"/>
            </w:tcBorders>
            <w:shd w:val="clear" w:color="auto" w:fill="auto"/>
            <w:vAlign w:val="bottom"/>
            <w:hideMark/>
          </w:tcPr>
          <w:p w14:paraId="63090523" w14:textId="77777777" w:rsidR="002213DD" w:rsidRPr="00FA62B6" w:rsidRDefault="002213DD" w:rsidP="004E58AF">
            <w:pPr>
              <w:spacing w:after="0" w:line="240" w:lineRule="auto"/>
              <w:jc w:val="right"/>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r>
      <w:tr w:rsidR="002213DD" w:rsidRPr="00FA62B6" w14:paraId="1B328B6A" w14:textId="77777777" w:rsidTr="00A95AF8">
        <w:trPr>
          <w:trHeight w:val="300"/>
          <w:tblHeader/>
          <w:jc w:val="center"/>
        </w:trPr>
        <w:tc>
          <w:tcPr>
            <w:tcW w:w="1710" w:type="dxa"/>
            <w:tcBorders>
              <w:top w:val="nil"/>
              <w:left w:val="nil"/>
              <w:bottom w:val="nil"/>
              <w:right w:val="nil"/>
            </w:tcBorders>
            <w:shd w:val="clear" w:color="auto" w:fill="auto"/>
            <w:vAlign w:val="bottom"/>
            <w:hideMark/>
          </w:tcPr>
          <w:p w14:paraId="4A7D0B0B" w14:textId="77777777" w:rsidR="002213DD" w:rsidRPr="00FA62B6" w:rsidRDefault="002213DD"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WINDHAM </w:t>
            </w:r>
          </w:p>
        </w:tc>
        <w:tc>
          <w:tcPr>
            <w:tcW w:w="3105" w:type="dxa"/>
            <w:tcBorders>
              <w:top w:val="nil"/>
              <w:left w:val="nil"/>
              <w:bottom w:val="nil"/>
              <w:right w:val="nil"/>
            </w:tcBorders>
            <w:shd w:val="clear" w:color="auto" w:fill="auto"/>
            <w:vAlign w:val="bottom"/>
            <w:hideMark/>
          </w:tcPr>
          <w:p w14:paraId="3A1D9038" w14:textId="77777777" w:rsidR="002213DD" w:rsidRPr="00FA62B6" w:rsidRDefault="002213DD" w:rsidP="004E58AF">
            <w:pPr>
              <w:spacing w:after="0" w:line="240" w:lineRule="auto"/>
              <w:jc w:val="right"/>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r>
      <w:tr w:rsidR="002213DD" w:rsidRPr="00FA62B6" w14:paraId="47F42304" w14:textId="77777777" w:rsidTr="00A95AF8">
        <w:trPr>
          <w:trHeight w:val="300"/>
          <w:tblHeader/>
          <w:jc w:val="center"/>
        </w:trPr>
        <w:tc>
          <w:tcPr>
            <w:tcW w:w="1710" w:type="dxa"/>
            <w:tcBorders>
              <w:top w:val="nil"/>
              <w:left w:val="nil"/>
              <w:bottom w:val="nil"/>
              <w:right w:val="nil"/>
            </w:tcBorders>
            <w:shd w:val="clear" w:color="auto" w:fill="auto"/>
            <w:vAlign w:val="bottom"/>
            <w:hideMark/>
          </w:tcPr>
          <w:p w14:paraId="7D1B1787" w14:textId="77777777" w:rsidR="002213DD" w:rsidRPr="00FA62B6" w:rsidRDefault="002213DD"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WINDSOR </w:t>
            </w:r>
          </w:p>
        </w:tc>
        <w:tc>
          <w:tcPr>
            <w:tcW w:w="3105" w:type="dxa"/>
            <w:tcBorders>
              <w:top w:val="nil"/>
              <w:left w:val="nil"/>
              <w:bottom w:val="nil"/>
              <w:right w:val="nil"/>
            </w:tcBorders>
            <w:shd w:val="clear" w:color="auto" w:fill="auto"/>
            <w:vAlign w:val="bottom"/>
            <w:hideMark/>
          </w:tcPr>
          <w:p w14:paraId="136294D3" w14:textId="77777777" w:rsidR="002213DD" w:rsidRPr="00FA62B6" w:rsidRDefault="002213DD" w:rsidP="004E58AF">
            <w:pPr>
              <w:spacing w:after="0" w:line="240" w:lineRule="auto"/>
              <w:jc w:val="right"/>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r>
      <w:tr w:rsidR="002213DD" w:rsidRPr="00FA62B6" w14:paraId="6FB45531" w14:textId="77777777" w:rsidTr="00A95AF8">
        <w:trPr>
          <w:trHeight w:val="300"/>
          <w:tblHeader/>
          <w:jc w:val="center"/>
        </w:trPr>
        <w:tc>
          <w:tcPr>
            <w:tcW w:w="1710" w:type="dxa"/>
            <w:tcBorders>
              <w:top w:val="single" w:sz="6" w:space="0" w:color="auto"/>
              <w:left w:val="nil"/>
              <w:bottom w:val="single" w:sz="6" w:space="0" w:color="auto"/>
              <w:right w:val="nil"/>
            </w:tcBorders>
            <w:shd w:val="clear" w:color="auto" w:fill="auto"/>
            <w:vAlign w:val="bottom"/>
            <w:hideMark/>
          </w:tcPr>
          <w:p w14:paraId="7BF02B6A" w14:textId="77777777" w:rsidR="002213DD" w:rsidRPr="00FA62B6" w:rsidRDefault="002213DD"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Total </w:t>
            </w:r>
          </w:p>
        </w:tc>
        <w:tc>
          <w:tcPr>
            <w:tcW w:w="3105" w:type="dxa"/>
            <w:tcBorders>
              <w:top w:val="single" w:sz="6" w:space="0" w:color="auto"/>
              <w:left w:val="nil"/>
              <w:bottom w:val="single" w:sz="6" w:space="0" w:color="auto"/>
              <w:right w:val="nil"/>
            </w:tcBorders>
            <w:shd w:val="clear" w:color="auto" w:fill="auto"/>
            <w:vAlign w:val="bottom"/>
            <w:hideMark/>
          </w:tcPr>
          <w:p w14:paraId="47BE6EFA" w14:textId="77777777" w:rsidR="002213DD" w:rsidRPr="00FA62B6" w:rsidRDefault="002213DD" w:rsidP="004E58AF">
            <w:pPr>
              <w:spacing w:after="0" w:line="240" w:lineRule="auto"/>
              <w:jc w:val="right"/>
              <w:textAlignment w:val="baseline"/>
              <w:rPr>
                <w:rFonts w:ascii="Segoe UI" w:eastAsia="Times New Roman" w:hAnsi="Segoe UI" w:cs="Segoe UI"/>
                <w:sz w:val="18"/>
                <w:szCs w:val="18"/>
              </w:rPr>
            </w:pPr>
            <w:r w:rsidRPr="00FA62B6">
              <w:rPr>
                <w:rFonts w:ascii="Calibri" w:eastAsia="Times New Roman" w:hAnsi="Calibri" w:cs="Calibri"/>
                <w:color w:val="000000"/>
              </w:rPr>
              <w:t>50945 </w:t>
            </w:r>
          </w:p>
        </w:tc>
      </w:tr>
    </w:tbl>
    <w:p w14:paraId="743539F9" w14:textId="77777777" w:rsidR="002213DD" w:rsidRDefault="002213DD" w:rsidP="002213DD">
      <w:pPr>
        <w:rPr>
          <w:b/>
          <w:bCs/>
        </w:rPr>
      </w:pPr>
    </w:p>
    <w:p w14:paraId="0585F46B" w14:textId="06087288" w:rsidR="4118AE81" w:rsidRDefault="4118AE81" w:rsidP="00ED6144"/>
    <w:p w14:paraId="2E4F0B8F" w14:textId="31002E70" w:rsidR="00EE59ED" w:rsidRDefault="00EE59ED" w:rsidP="00ED6144">
      <w:pPr>
        <w:pStyle w:val="Heading2"/>
      </w:pPr>
      <w:r w:rsidRPr="29A70AAA">
        <w:t>Hemlock Woolly Adelgid</w:t>
      </w:r>
    </w:p>
    <w:p w14:paraId="6F0239A7" w14:textId="158C9933" w:rsidR="00C03CED" w:rsidRDefault="00C03CED" w:rsidP="43FD5FD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Hemlock Woolly Adelgid (HWA), </w:t>
      </w:r>
      <w:proofErr w:type="spellStart"/>
      <w:r w:rsidRPr="43FD5FD9">
        <w:rPr>
          <w:rStyle w:val="normaltextrun"/>
          <w:rFonts w:ascii="Calibri" w:hAnsi="Calibri" w:cs="Calibri"/>
          <w:i/>
          <w:iCs/>
          <w:color w:val="000000"/>
          <w:shd w:val="clear" w:color="auto" w:fill="FFFFFF"/>
        </w:rPr>
        <w:t>Adelges</w:t>
      </w:r>
      <w:proofErr w:type="spellEnd"/>
      <w:r w:rsidRPr="43FD5FD9">
        <w:rPr>
          <w:rStyle w:val="normaltextrun"/>
          <w:rFonts w:ascii="Calibri" w:hAnsi="Calibri" w:cs="Calibri"/>
          <w:i/>
          <w:iCs/>
          <w:color w:val="000000"/>
          <w:shd w:val="clear" w:color="auto" w:fill="FFFFFF"/>
        </w:rPr>
        <w:t xml:space="preserve"> </w:t>
      </w:r>
      <w:proofErr w:type="spellStart"/>
      <w:r w:rsidRPr="43FD5FD9">
        <w:rPr>
          <w:rStyle w:val="normaltextrun"/>
          <w:rFonts w:ascii="Calibri" w:hAnsi="Calibri" w:cs="Calibri"/>
          <w:i/>
          <w:iCs/>
          <w:color w:val="000000"/>
          <w:shd w:val="clear" w:color="auto" w:fill="FFFFFF"/>
        </w:rPr>
        <w:t>tsugae</w:t>
      </w:r>
      <w:proofErr w:type="spellEnd"/>
      <w:r>
        <w:rPr>
          <w:rStyle w:val="normaltextrun"/>
          <w:rFonts w:ascii="Calibri" w:hAnsi="Calibri" w:cs="Calibri"/>
          <w:color w:val="000000"/>
          <w:shd w:val="clear" w:color="auto" w:fill="FFFFFF"/>
        </w:rPr>
        <w:t>, continues to threaten hemlock trees in southern Vermont, especially in combination with drought and elongate hemlock scale. Traditionally infested sites are still infested, with no observed spread despite low winter mortality and higher population counts.</w:t>
      </w:r>
      <w:r>
        <w:rPr>
          <w:rStyle w:val="eop"/>
          <w:rFonts w:ascii="Calibri" w:hAnsi="Calibri" w:cs="Calibri"/>
          <w:color w:val="000000"/>
          <w:shd w:val="clear" w:color="auto" w:fill="FFFFFF"/>
        </w:rPr>
        <w:t> </w:t>
      </w:r>
      <w:r w:rsidR="2CB9EBEE">
        <w:rPr>
          <w:rStyle w:val="eop"/>
          <w:rFonts w:ascii="Calibri" w:hAnsi="Calibri" w:cs="Calibri"/>
          <w:color w:val="000000"/>
          <w:shd w:val="clear" w:color="auto" w:fill="FFFFFF"/>
        </w:rPr>
        <w:t xml:space="preserve"> </w:t>
      </w:r>
      <w:r w:rsidR="2CB9EBEE" w:rsidRPr="43FD5FD9">
        <w:rPr>
          <w:rStyle w:val="normaltextrun"/>
          <w:rFonts w:ascii="Calibri" w:hAnsi="Calibri" w:cs="Calibri"/>
          <w:color w:val="000000" w:themeColor="text1"/>
        </w:rPr>
        <w:t>As of 2021, known infested counties include Windham, Windsor, and Bennington counties.</w:t>
      </w:r>
    </w:p>
    <w:p w14:paraId="072A3557" w14:textId="6284B233" w:rsidR="00C03CED" w:rsidRDefault="61C2D49A" w:rsidP="00ED6144">
      <w:pPr>
        <w:rPr>
          <w:rFonts w:eastAsia="Calibri"/>
          <w:color w:val="000000" w:themeColor="text1"/>
        </w:rPr>
      </w:pPr>
      <w:r w:rsidRPr="43FD5FD9">
        <w:rPr>
          <w:rFonts w:eastAsia="Calibri"/>
          <w:color w:val="000000" w:themeColor="text1"/>
        </w:rPr>
        <w:t>We continue to maintain five HWA impact monitoring plots. In 2021, monitoring assessments at the Atherton Meadows Wildlife Management Area and Townshend State Park</w:t>
      </w:r>
      <w:r w:rsidR="600377F5" w:rsidRPr="43FD5FD9">
        <w:rPr>
          <w:rFonts w:eastAsia="Calibri"/>
          <w:color w:val="000000" w:themeColor="text1"/>
        </w:rPr>
        <w:t xml:space="preserve"> revealed that</w:t>
      </w:r>
      <w:r w:rsidRPr="43FD5FD9">
        <w:rPr>
          <w:rFonts w:eastAsia="Calibri"/>
          <w:color w:val="000000" w:themeColor="text1"/>
        </w:rPr>
        <w:t xml:space="preserve"> </w:t>
      </w:r>
      <w:r w:rsidR="0350F9A1" w:rsidRPr="43FD5FD9">
        <w:rPr>
          <w:rFonts w:eastAsia="Calibri"/>
          <w:color w:val="000000" w:themeColor="text1"/>
        </w:rPr>
        <w:t>in</w:t>
      </w:r>
      <w:r w:rsidRPr="43FD5FD9">
        <w:rPr>
          <w:rFonts w:eastAsia="Calibri"/>
          <w:color w:val="000000" w:themeColor="text1"/>
        </w:rPr>
        <w:t xml:space="preserve"> general, crowns </w:t>
      </w:r>
      <w:r w:rsidR="5BC5F913" w:rsidRPr="43FD5FD9">
        <w:rPr>
          <w:rFonts w:eastAsia="Calibri"/>
          <w:color w:val="000000" w:themeColor="text1"/>
        </w:rPr>
        <w:t>were</w:t>
      </w:r>
      <w:r w:rsidRPr="43FD5FD9">
        <w:rPr>
          <w:rFonts w:eastAsia="Calibri"/>
          <w:color w:val="000000" w:themeColor="text1"/>
        </w:rPr>
        <w:t xml:space="preserve"> smaller and thinner than in previous monitoring. Biocontrol efforts in 2021 used 1500 wildlings of the predatory beetle </w:t>
      </w:r>
      <w:proofErr w:type="spellStart"/>
      <w:r w:rsidRPr="42B47018">
        <w:rPr>
          <w:rFonts w:eastAsia="Calibri"/>
          <w:i/>
          <w:iCs/>
          <w:color w:val="000000" w:themeColor="text1"/>
        </w:rPr>
        <w:t>Laricobius</w:t>
      </w:r>
      <w:proofErr w:type="spellEnd"/>
      <w:r w:rsidRPr="42B47018">
        <w:rPr>
          <w:rFonts w:eastAsia="Calibri"/>
          <w:i/>
          <w:iCs/>
          <w:color w:val="000000" w:themeColor="text1"/>
        </w:rPr>
        <w:t xml:space="preserve"> </w:t>
      </w:r>
      <w:proofErr w:type="spellStart"/>
      <w:r w:rsidRPr="42B47018">
        <w:rPr>
          <w:rFonts w:eastAsia="Calibri"/>
          <w:i/>
          <w:iCs/>
          <w:color w:val="000000" w:themeColor="text1"/>
        </w:rPr>
        <w:t>nigrinus</w:t>
      </w:r>
      <w:proofErr w:type="spellEnd"/>
      <w:r w:rsidRPr="43FD5FD9">
        <w:rPr>
          <w:rFonts w:eastAsia="Calibri"/>
          <w:color w:val="000000" w:themeColor="text1"/>
        </w:rPr>
        <w:t>, captured from W</w:t>
      </w:r>
      <w:r w:rsidR="047EE59E" w:rsidRPr="43FD5FD9">
        <w:rPr>
          <w:rFonts w:eastAsia="Calibri"/>
          <w:color w:val="000000" w:themeColor="text1"/>
        </w:rPr>
        <w:t>ashington State</w:t>
      </w:r>
      <w:r w:rsidRPr="43FD5FD9">
        <w:rPr>
          <w:rFonts w:eastAsia="Calibri"/>
          <w:color w:val="000000" w:themeColor="text1"/>
        </w:rPr>
        <w:t xml:space="preserve">, and 500 </w:t>
      </w:r>
      <w:proofErr w:type="spellStart"/>
      <w:r w:rsidRPr="42B47018">
        <w:rPr>
          <w:rFonts w:eastAsia="Calibri"/>
          <w:i/>
          <w:iCs/>
          <w:color w:val="000000" w:themeColor="text1"/>
        </w:rPr>
        <w:t>Laricobius</w:t>
      </w:r>
      <w:proofErr w:type="spellEnd"/>
      <w:r w:rsidRPr="42B47018">
        <w:rPr>
          <w:rFonts w:eastAsia="Calibri"/>
          <w:i/>
          <w:iCs/>
          <w:color w:val="000000" w:themeColor="text1"/>
        </w:rPr>
        <w:t xml:space="preserve"> </w:t>
      </w:r>
      <w:proofErr w:type="spellStart"/>
      <w:r w:rsidRPr="42B47018">
        <w:rPr>
          <w:rFonts w:eastAsia="Calibri"/>
          <w:i/>
          <w:iCs/>
          <w:color w:val="000000" w:themeColor="text1"/>
        </w:rPr>
        <w:t>nigrinus</w:t>
      </w:r>
      <w:proofErr w:type="spellEnd"/>
      <w:r w:rsidRPr="42B47018">
        <w:rPr>
          <w:rFonts w:eastAsia="Calibri"/>
          <w:i/>
          <w:iCs/>
          <w:color w:val="000000" w:themeColor="text1"/>
        </w:rPr>
        <w:t xml:space="preserve"> </w:t>
      </w:r>
      <w:r w:rsidRPr="43FD5FD9">
        <w:rPr>
          <w:rFonts w:eastAsia="Calibri"/>
          <w:color w:val="000000" w:themeColor="text1"/>
        </w:rPr>
        <w:t>obtained from the rearing laboratory at Virginia Tech were released at Jamaica State Park this fall. Follow-up monitoring in winter and spring had no recoveries.</w:t>
      </w:r>
    </w:p>
    <w:p w14:paraId="32F97F62" w14:textId="7487BA5B" w:rsidR="2156EB88" w:rsidRDefault="00C03CED" w:rsidP="00ED6144">
      <w:pPr>
        <w:rPr>
          <w:rStyle w:val="eop"/>
          <w:rFonts w:ascii="Calibri" w:hAnsi="Calibri" w:cs="Calibri"/>
        </w:rPr>
      </w:pPr>
      <w:r w:rsidRPr="5658DD38">
        <w:rPr>
          <w:rStyle w:val="normaltextrun"/>
          <w:rFonts w:ascii="Calibri" w:hAnsi="Calibri" w:cs="Calibri"/>
        </w:rPr>
        <w:t>Fifty-one percent of the hemlock woolly adelgids (HWA) examined during the annual winter mortality survey were dead</w:t>
      </w:r>
      <w:r w:rsidR="00A95AF8">
        <w:rPr>
          <w:rStyle w:val="normaltextrun"/>
          <w:rFonts w:ascii="Calibri" w:hAnsi="Calibri" w:cs="Calibri"/>
        </w:rPr>
        <w:t xml:space="preserve"> (Figure 7)</w:t>
      </w:r>
      <w:r w:rsidRPr="5658DD38">
        <w:rPr>
          <w:rStyle w:val="normaltextrun"/>
          <w:rFonts w:ascii="Calibri" w:hAnsi="Calibri" w:cs="Calibri"/>
        </w:rPr>
        <w:t xml:space="preserve">. Although winter temperatures were only slightly colder than last year, in March we experienced periods of warming temperatures followed by successive days of deep freezes. This temperature fluctuation could have contributed to winter mortality by killing otherwise surviving HWA before they could reproduce. In the past, we have often found infestations in new locations following years with mild winters and low levels of HWA mortality. Currently, HWA is primarily found in Windham County, however, it has also been observed in Springfield and </w:t>
      </w:r>
      <w:proofErr w:type="spellStart"/>
      <w:r w:rsidRPr="5658DD38">
        <w:rPr>
          <w:rStyle w:val="normaltextrun"/>
          <w:rFonts w:ascii="Calibri" w:hAnsi="Calibri" w:cs="Calibri"/>
        </w:rPr>
        <w:t>Pownal</w:t>
      </w:r>
      <w:proofErr w:type="spellEnd"/>
      <w:r w:rsidRPr="5658DD38">
        <w:rPr>
          <w:rStyle w:val="normaltextrun"/>
          <w:rFonts w:ascii="Calibri" w:hAnsi="Calibri" w:cs="Calibri"/>
        </w:rPr>
        <w:t xml:space="preserve">. </w:t>
      </w:r>
      <w:proofErr w:type="gramStart"/>
      <w:r w:rsidRPr="5658DD38">
        <w:rPr>
          <w:rStyle w:val="advancedproofingissue"/>
          <w:rFonts w:ascii="Calibri" w:hAnsi="Calibri" w:cs="Calibri"/>
        </w:rPr>
        <w:t>Similar to</w:t>
      </w:r>
      <w:proofErr w:type="gramEnd"/>
      <w:r w:rsidRPr="5658DD38">
        <w:rPr>
          <w:rStyle w:val="normaltextrun"/>
          <w:rFonts w:ascii="Calibri" w:hAnsi="Calibri" w:cs="Calibri"/>
        </w:rPr>
        <w:t xml:space="preserve"> past years, </w:t>
      </w:r>
      <w:r w:rsidRPr="5658DD38">
        <w:rPr>
          <w:rStyle w:val="normaltextrun"/>
          <w:rFonts w:ascii="Calibri" w:hAnsi="Calibri" w:cs="Calibri"/>
        </w:rPr>
        <w:lastRenderedPageBreak/>
        <w:t xml:space="preserve">Vermont, as well as nearby states, continue to find HWA occasionally mixed with elongate hemlock </w:t>
      </w:r>
      <w:r w:rsidR="00A95AF8">
        <w:rPr>
          <w:noProof/>
        </w:rPr>
        <w:drawing>
          <wp:anchor distT="0" distB="0" distL="114300" distR="114300" simplePos="0" relativeHeight="251651584" behindDoc="0" locked="0" layoutInCell="1" allowOverlap="1" wp14:anchorId="3126B221" wp14:editId="7F65D772">
            <wp:simplePos x="0" y="0"/>
            <wp:positionH relativeFrom="column">
              <wp:posOffset>650875</wp:posOffset>
            </wp:positionH>
            <wp:positionV relativeFrom="page">
              <wp:posOffset>1512570</wp:posOffset>
            </wp:positionV>
            <wp:extent cx="4434840" cy="2651760"/>
            <wp:effectExtent l="0" t="0" r="3810" b="0"/>
            <wp:wrapTopAndBottom/>
            <wp:docPr id="7" name="Picture 7" descr="Trends in winter mortality of HWA from 2010-2021.  Because of the mild winter, mortality was low again (51%)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rends in winter mortality of HWA from 2010-2021.  Because of the mild winter, mortality was low again (51%) in 20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4840" cy="2651760"/>
                    </a:xfrm>
                    <a:prstGeom prst="rect">
                      <a:avLst/>
                    </a:prstGeom>
                    <a:noFill/>
                    <a:ln>
                      <a:noFill/>
                    </a:ln>
                  </pic:spPr>
                </pic:pic>
              </a:graphicData>
            </a:graphic>
          </wp:anchor>
        </w:drawing>
      </w:r>
      <w:r w:rsidRPr="5658DD38">
        <w:rPr>
          <w:rStyle w:val="normaltextrun"/>
          <w:rFonts w:ascii="Calibri" w:hAnsi="Calibri" w:cs="Calibri"/>
        </w:rPr>
        <w:t>scale. </w:t>
      </w:r>
      <w:r w:rsidRPr="5658DD38">
        <w:rPr>
          <w:rStyle w:val="eop"/>
          <w:rFonts w:ascii="Calibri" w:hAnsi="Calibri" w:cs="Calibri"/>
        </w:rPr>
        <w:t> </w:t>
      </w:r>
    </w:p>
    <w:p w14:paraId="5E3E3B17" w14:textId="77777777" w:rsidR="00A95AF8" w:rsidRDefault="00A95AF8" w:rsidP="00ED6144">
      <w:pPr>
        <w:rPr>
          <w:rStyle w:val="eop"/>
          <w:rFonts w:ascii="Calibri" w:hAnsi="Calibri" w:cs="Calibri"/>
        </w:rPr>
      </w:pPr>
    </w:p>
    <w:p w14:paraId="4695B5E5" w14:textId="77777777" w:rsidR="00A95AF8" w:rsidRDefault="00A95AF8" w:rsidP="00A95AF8">
      <w:pPr>
        <w:rPr>
          <w:rStyle w:val="normaltextrun"/>
          <w:rFonts w:ascii="Calibri" w:hAnsi="Calibri" w:cs="Calibri"/>
          <w:color w:val="000000"/>
          <w:shd w:val="clear" w:color="auto" w:fill="FFFFFF"/>
        </w:rPr>
      </w:pPr>
      <w:r>
        <w:rPr>
          <w:rStyle w:val="normaltextrun"/>
          <w:rFonts w:ascii="Calibri" w:hAnsi="Calibri" w:cs="Calibri"/>
          <w:b/>
          <w:bCs/>
          <w:color w:val="000000"/>
          <w:shd w:val="clear" w:color="auto" w:fill="FFFFFF"/>
        </w:rPr>
        <w:t>Figure 7.  </w:t>
      </w:r>
      <w:r>
        <w:rPr>
          <w:rStyle w:val="normaltextrun"/>
          <w:rFonts w:ascii="Calibri" w:hAnsi="Calibri" w:cs="Calibri"/>
          <w:color w:val="000000"/>
          <w:shd w:val="clear" w:color="auto" w:fill="FFFFFF"/>
        </w:rPr>
        <w:t>Trends in winter mortality of HWA from 2010 to 2021.</w:t>
      </w:r>
    </w:p>
    <w:p w14:paraId="6673036B" w14:textId="315966D1" w:rsidR="00EE59ED" w:rsidRPr="00ED6144" w:rsidRDefault="00EE59ED" w:rsidP="00ED6144">
      <w:pPr>
        <w:pStyle w:val="Heading2"/>
      </w:pPr>
      <w:r w:rsidRPr="00ED6144">
        <w:t>Maple Maladies</w:t>
      </w:r>
      <w:r w:rsidR="00C03CED" w:rsidRPr="00ED6144">
        <w:t xml:space="preserve"> – Maple leafcutter, Saddled </w:t>
      </w:r>
      <w:r w:rsidR="5E7BB425" w:rsidRPr="00ED6144">
        <w:t>p</w:t>
      </w:r>
      <w:r w:rsidR="00C03CED" w:rsidRPr="00ED6144">
        <w:t xml:space="preserve">rominent, </w:t>
      </w:r>
      <w:r w:rsidR="78A8E215" w:rsidRPr="00ED6144">
        <w:t>Pear thrips</w:t>
      </w:r>
      <w:r w:rsidR="716A116B" w:rsidRPr="00ED6144">
        <w:t>,</w:t>
      </w:r>
      <w:r w:rsidR="78A8E215" w:rsidRPr="00ED6144">
        <w:t xml:space="preserve"> and </w:t>
      </w:r>
      <w:proofErr w:type="gramStart"/>
      <w:r w:rsidR="00C03CED" w:rsidRPr="00ED6144">
        <w:t>Anthracnose</w:t>
      </w:r>
      <w:proofErr w:type="gramEnd"/>
    </w:p>
    <w:p w14:paraId="46519F2D" w14:textId="4A516AC8" w:rsidR="11A7A420" w:rsidRDefault="4CC22AF1" w:rsidP="648CB67B">
      <w:pPr>
        <w:spacing w:line="257" w:lineRule="auto"/>
        <w:rPr>
          <w:rFonts w:ascii="Calibri" w:eastAsia="Calibri" w:hAnsi="Calibri" w:cs="Calibri"/>
          <w:color w:val="000000" w:themeColor="text1"/>
        </w:rPr>
      </w:pPr>
      <w:r w:rsidRPr="648CB67B">
        <w:rPr>
          <w:rFonts w:ascii="Calibri" w:eastAsia="Calibri" w:hAnsi="Calibri" w:cs="Calibri"/>
          <w:color w:val="000000" w:themeColor="text1"/>
        </w:rPr>
        <w:t>Maple species were impacted by multiple stressors in 2021, including early season defoliation due to pear thrips</w:t>
      </w:r>
      <w:r w:rsidR="500C58F0" w:rsidRPr="648CB67B">
        <w:rPr>
          <w:rFonts w:ascii="Calibri" w:eastAsia="Calibri" w:hAnsi="Calibri" w:cs="Calibri"/>
          <w:color w:val="000000" w:themeColor="text1"/>
        </w:rPr>
        <w:t xml:space="preserve"> </w:t>
      </w:r>
      <w:r w:rsidR="500C58F0" w:rsidRPr="648CB67B">
        <w:rPr>
          <w:rFonts w:ascii="Calibri" w:eastAsia="Calibri" w:hAnsi="Calibri" w:cs="Calibri"/>
          <w:i/>
          <w:iCs/>
          <w:color w:val="000000" w:themeColor="text1"/>
        </w:rPr>
        <w:t>(</w:t>
      </w:r>
      <w:proofErr w:type="spellStart"/>
      <w:r w:rsidR="500C58F0" w:rsidRPr="648CB67B">
        <w:rPr>
          <w:rFonts w:ascii="Calibri" w:eastAsia="Calibri" w:hAnsi="Calibri" w:cs="Calibri"/>
          <w:i/>
          <w:iCs/>
          <w:color w:val="000000" w:themeColor="text1"/>
        </w:rPr>
        <w:t>Taeniothrips</w:t>
      </w:r>
      <w:proofErr w:type="spellEnd"/>
      <w:r w:rsidR="500C58F0" w:rsidRPr="648CB67B">
        <w:rPr>
          <w:rFonts w:ascii="Calibri" w:eastAsia="Calibri" w:hAnsi="Calibri" w:cs="Calibri"/>
          <w:i/>
          <w:iCs/>
          <w:color w:val="000000" w:themeColor="text1"/>
        </w:rPr>
        <w:t xml:space="preserve"> </w:t>
      </w:r>
      <w:proofErr w:type="spellStart"/>
      <w:r w:rsidR="500C58F0" w:rsidRPr="648CB67B">
        <w:rPr>
          <w:rFonts w:ascii="Calibri" w:eastAsia="Calibri" w:hAnsi="Calibri" w:cs="Calibri"/>
          <w:i/>
          <w:iCs/>
          <w:color w:val="000000" w:themeColor="text1"/>
        </w:rPr>
        <w:t>inconsequens</w:t>
      </w:r>
      <w:proofErr w:type="spellEnd"/>
      <w:r w:rsidR="500C58F0" w:rsidRPr="648CB67B">
        <w:rPr>
          <w:rFonts w:ascii="Calibri" w:eastAsia="Calibri" w:hAnsi="Calibri" w:cs="Calibri"/>
          <w:color w:val="000000" w:themeColor="text1"/>
        </w:rPr>
        <w:t>)</w:t>
      </w:r>
      <w:r w:rsidRPr="648CB67B">
        <w:rPr>
          <w:rFonts w:ascii="Calibri" w:eastAsia="Calibri" w:hAnsi="Calibri" w:cs="Calibri"/>
          <w:i/>
          <w:iCs/>
          <w:color w:val="000000" w:themeColor="text1"/>
        </w:rPr>
        <w:t>,</w:t>
      </w:r>
      <w:r w:rsidRPr="648CB67B">
        <w:rPr>
          <w:rFonts w:ascii="Calibri" w:eastAsia="Calibri" w:hAnsi="Calibri" w:cs="Calibri"/>
          <w:color w:val="000000" w:themeColor="text1"/>
        </w:rPr>
        <w:t xml:space="preserve"> mid-season defoliation from saddled prominent</w:t>
      </w:r>
      <w:r w:rsidR="5DF4879A" w:rsidRPr="648CB67B">
        <w:rPr>
          <w:rFonts w:ascii="Calibri" w:eastAsia="Calibri" w:hAnsi="Calibri" w:cs="Calibri"/>
          <w:color w:val="000000" w:themeColor="text1"/>
        </w:rPr>
        <w:t xml:space="preserve"> (</w:t>
      </w:r>
      <w:proofErr w:type="spellStart"/>
      <w:r w:rsidR="5DF4879A" w:rsidRPr="648CB67B">
        <w:rPr>
          <w:rStyle w:val="spellingerror"/>
          <w:i/>
          <w:iCs/>
        </w:rPr>
        <w:t>Heterocampa</w:t>
      </w:r>
      <w:proofErr w:type="spellEnd"/>
      <w:r w:rsidR="5DF4879A" w:rsidRPr="648CB67B">
        <w:rPr>
          <w:rStyle w:val="spellingerror"/>
          <w:i/>
          <w:iCs/>
        </w:rPr>
        <w:t> </w:t>
      </w:r>
      <w:proofErr w:type="spellStart"/>
      <w:r w:rsidR="5DF4879A" w:rsidRPr="648CB67B">
        <w:rPr>
          <w:rStyle w:val="spellingerror"/>
          <w:i/>
          <w:iCs/>
        </w:rPr>
        <w:t>guttivitta</w:t>
      </w:r>
      <w:proofErr w:type="spellEnd"/>
      <w:r w:rsidR="5DF4879A" w:rsidRPr="648CB67B">
        <w:rPr>
          <w:rStyle w:val="spellingerror"/>
          <w:i/>
          <w:iCs/>
        </w:rPr>
        <w:t>)</w:t>
      </w:r>
      <w:r w:rsidRPr="648CB67B">
        <w:rPr>
          <w:rFonts w:ascii="Calibri" w:eastAsia="Calibri" w:hAnsi="Calibri" w:cs="Calibri"/>
          <w:color w:val="000000" w:themeColor="text1"/>
        </w:rPr>
        <w:t xml:space="preserve">, and late season stress by anthracnose </w:t>
      </w:r>
      <w:r w:rsidR="7C01AD17" w:rsidRPr="648CB67B">
        <w:rPr>
          <w:rFonts w:ascii="Calibri" w:eastAsia="Calibri" w:hAnsi="Calibri" w:cs="Calibri"/>
          <w:color w:val="000000" w:themeColor="text1"/>
        </w:rPr>
        <w:t xml:space="preserve">species </w:t>
      </w:r>
      <w:r w:rsidRPr="648CB67B">
        <w:rPr>
          <w:rFonts w:ascii="Calibri" w:eastAsia="Calibri" w:hAnsi="Calibri" w:cs="Calibri"/>
          <w:color w:val="000000" w:themeColor="text1"/>
        </w:rPr>
        <w:t>coupled with defoliation by maple leafcutter</w:t>
      </w:r>
      <w:r w:rsidR="6268D4D6" w:rsidRPr="648CB67B">
        <w:rPr>
          <w:rFonts w:ascii="Calibri" w:eastAsia="Calibri" w:hAnsi="Calibri" w:cs="Calibri"/>
          <w:color w:val="000000" w:themeColor="text1"/>
        </w:rPr>
        <w:t xml:space="preserve"> (</w:t>
      </w:r>
      <w:proofErr w:type="spellStart"/>
      <w:r w:rsidR="6268D4D6" w:rsidRPr="648CB67B">
        <w:rPr>
          <w:rFonts w:ascii="Calibri" w:eastAsia="Calibri" w:hAnsi="Calibri" w:cs="Calibri"/>
          <w:i/>
          <w:iCs/>
          <w:color w:val="000000" w:themeColor="text1"/>
        </w:rPr>
        <w:t>P</w:t>
      </w:r>
      <w:r w:rsidR="6268D4D6" w:rsidRPr="648CB67B">
        <w:rPr>
          <w:rStyle w:val="spellingerror"/>
          <w:i/>
          <w:iCs/>
        </w:rPr>
        <w:t>araclemensia</w:t>
      </w:r>
      <w:proofErr w:type="spellEnd"/>
      <w:r w:rsidR="6268D4D6" w:rsidRPr="648CB67B">
        <w:rPr>
          <w:rStyle w:val="spellingerror"/>
          <w:i/>
          <w:iCs/>
        </w:rPr>
        <w:t> </w:t>
      </w:r>
      <w:proofErr w:type="spellStart"/>
      <w:r w:rsidR="6268D4D6" w:rsidRPr="648CB67B">
        <w:rPr>
          <w:rStyle w:val="spellingerror"/>
          <w:i/>
          <w:iCs/>
        </w:rPr>
        <w:t>acerifoliella</w:t>
      </w:r>
      <w:proofErr w:type="spellEnd"/>
      <w:r w:rsidR="6268D4D6" w:rsidRPr="648CB67B">
        <w:rPr>
          <w:rStyle w:val="spellingerror"/>
        </w:rPr>
        <w:t>)</w:t>
      </w:r>
      <w:r w:rsidRPr="648CB67B">
        <w:rPr>
          <w:rFonts w:ascii="Calibri" w:eastAsia="Calibri" w:hAnsi="Calibri" w:cs="Calibri"/>
          <w:color w:val="000000" w:themeColor="text1"/>
        </w:rPr>
        <w:t>.  In total, 33,939 acres were affected by these stressors, with maple leafcutter accounting for the bulk of these (25,563 acres)</w:t>
      </w:r>
      <w:r w:rsidR="00375953">
        <w:rPr>
          <w:rFonts w:ascii="Calibri" w:eastAsia="Calibri" w:hAnsi="Calibri" w:cs="Calibri"/>
          <w:color w:val="000000" w:themeColor="text1"/>
        </w:rPr>
        <w:t xml:space="preserve"> (Figure 8)</w:t>
      </w:r>
      <w:r w:rsidRPr="648CB67B">
        <w:rPr>
          <w:rFonts w:ascii="Calibri" w:eastAsia="Calibri" w:hAnsi="Calibri" w:cs="Calibri"/>
          <w:color w:val="000000" w:themeColor="text1"/>
        </w:rPr>
        <w:t xml:space="preserve">.  Pear thrips damage was largely detected by aircraft in the southwest corner of the state (4,421 acres) but reports of defoliation came from northern counties as well.  Saddled prominent defoliation (2,905 acres) and anthracnose (1,050 acres) were scatted throughout central and southern Vermont.  </w:t>
      </w:r>
    </w:p>
    <w:p w14:paraId="60F053E8" w14:textId="623E0B60" w:rsidR="00ED6144" w:rsidRPr="00ED6144" w:rsidRDefault="00ED6144" w:rsidP="00ED6144">
      <w:pPr>
        <w:pStyle w:val="Heading3"/>
        <w:rPr>
          <w:rStyle w:val="normaltextrun"/>
        </w:rPr>
      </w:pPr>
      <w:r w:rsidRPr="00ED6144">
        <w:rPr>
          <w:rStyle w:val="normaltextrun"/>
        </w:rPr>
        <w:t>Maple Leafcutter</w:t>
      </w:r>
    </w:p>
    <w:p w14:paraId="2CDC934F" w14:textId="08C08729" w:rsidR="00C03CED" w:rsidRPr="00C03CED" w:rsidRDefault="3FD6797C" w:rsidP="00611234">
      <w:pPr>
        <w:pStyle w:val="paragraph"/>
        <w:spacing w:before="0" w:beforeAutospacing="0" w:after="0" w:afterAutospacing="0"/>
        <w:textAlignment w:val="baseline"/>
        <w:rPr>
          <w:rStyle w:val="eop"/>
          <w:rFonts w:asciiTheme="minorHAnsi" w:hAnsiTheme="minorHAnsi" w:cstheme="minorBidi"/>
          <w:sz w:val="22"/>
          <w:szCs w:val="22"/>
        </w:rPr>
      </w:pPr>
      <w:r w:rsidRPr="5658DD38">
        <w:rPr>
          <w:rStyle w:val="normaltextrun"/>
          <w:rFonts w:asciiTheme="minorHAnsi" w:hAnsiTheme="minorHAnsi" w:cstheme="minorBidi"/>
          <w:sz w:val="22"/>
          <w:szCs w:val="22"/>
        </w:rPr>
        <w:t>Maple leafcutter</w:t>
      </w:r>
      <w:r w:rsidRPr="5658DD38">
        <w:rPr>
          <w:rStyle w:val="normaltextrun"/>
          <w:rFonts w:asciiTheme="minorHAnsi" w:hAnsiTheme="minorHAnsi" w:cstheme="minorBidi"/>
          <w:b/>
          <w:bCs/>
          <w:sz w:val="22"/>
          <w:szCs w:val="22"/>
        </w:rPr>
        <w:t xml:space="preserve"> </w:t>
      </w:r>
      <w:r w:rsidRPr="5658DD38">
        <w:rPr>
          <w:rStyle w:val="normaltextrun"/>
          <w:rFonts w:asciiTheme="minorHAnsi" w:hAnsiTheme="minorHAnsi" w:cstheme="minorBidi"/>
          <w:sz w:val="22"/>
          <w:szCs w:val="22"/>
        </w:rPr>
        <w:t>(MLC) damage is predominately found on sugar maples, although this insect also feeds on other hardwoods such as red maple, beech, and birch species. Larvae excise circular holes in the leaf, which are then bound together with silk, and used as protection from predators and environmenta</w:t>
      </w:r>
      <w:r w:rsidR="00611234">
        <w:rPr>
          <w:rStyle w:val="normaltextrun"/>
          <w:rFonts w:asciiTheme="minorHAnsi" w:hAnsiTheme="minorHAnsi" w:cstheme="minorBidi"/>
          <w:sz w:val="22"/>
          <w:szCs w:val="22"/>
        </w:rPr>
        <w:t xml:space="preserve">l </w:t>
      </w:r>
      <w:r w:rsidRPr="5658DD38">
        <w:rPr>
          <w:rStyle w:val="normaltextrun"/>
          <w:rFonts w:asciiTheme="minorHAnsi" w:hAnsiTheme="minorHAnsi" w:cstheme="minorBidi"/>
          <w:sz w:val="22"/>
          <w:szCs w:val="22"/>
        </w:rPr>
        <w:t>conditions. This defoliation is aesthetically alarming, however, impacts on tree health are low because damage occurs so late in the growing season</w:t>
      </w:r>
      <w:r w:rsidR="00375953">
        <w:rPr>
          <w:rStyle w:val="normaltextrun"/>
          <w:rFonts w:asciiTheme="minorHAnsi" w:hAnsiTheme="minorHAnsi" w:cstheme="minorBidi"/>
          <w:sz w:val="22"/>
          <w:szCs w:val="22"/>
        </w:rPr>
        <w:t xml:space="preserve"> (Figure 9)</w:t>
      </w:r>
      <w:r w:rsidRPr="5658DD38">
        <w:rPr>
          <w:rStyle w:val="normaltextrun"/>
          <w:rFonts w:asciiTheme="minorHAnsi" w:hAnsiTheme="minorHAnsi" w:cstheme="minorBidi"/>
          <w:sz w:val="22"/>
          <w:szCs w:val="22"/>
        </w:rPr>
        <w:t xml:space="preserve">. This insect caused the most observable damage to hardwoods during late summer and early autumn in 2021, causing our </w:t>
      </w:r>
      <w:r w:rsidR="24353C15" w:rsidRPr="5658DD38">
        <w:rPr>
          <w:rStyle w:val="normaltextrun"/>
          <w:rFonts w:asciiTheme="minorHAnsi" w:hAnsiTheme="minorHAnsi" w:cstheme="minorBidi"/>
          <w:sz w:val="22"/>
          <w:szCs w:val="22"/>
        </w:rPr>
        <w:t>n</w:t>
      </w:r>
      <w:r w:rsidRPr="5658DD38">
        <w:rPr>
          <w:rStyle w:val="normaltextrun"/>
          <w:rFonts w:asciiTheme="minorHAnsi" w:hAnsiTheme="minorHAnsi" w:cstheme="minorBidi"/>
          <w:sz w:val="22"/>
          <w:szCs w:val="22"/>
        </w:rPr>
        <w:t>orthern hardwood forests to appear brown and discolored before the onset of typical fall colors. </w:t>
      </w:r>
      <w:r w:rsidR="00611234">
        <w:rPr>
          <w:rStyle w:val="normaltextrun"/>
          <w:rFonts w:asciiTheme="minorHAnsi" w:hAnsiTheme="minorHAnsi" w:cstheme="minorBidi"/>
          <w:sz w:val="22"/>
          <w:szCs w:val="22"/>
        </w:rPr>
        <w:t>Most reports of MLC came from Orange and Washington counties in 2021, though a</w:t>
      </w:r>
      <w:r w:rsidR="53486960" w:rsidRPr="00611234">
        <w:rPr>
          <w:rStyle w:val="normaltextrun"/>
          <w:rFonts w:asciiTheme="minorHAnsi" w:hAnsiTheme="minorHAnsi" w:cstheme="minorBidi"/>
          <w:sz w:val="22"/>
          <w:szCs w:val="22"/>
        </w:rPr>
        <w:t>erial surveys</w:t>
      </w:r>
      <w:r w:rsidR="1892695F" w:rsidRPr="00611234">
        <w:rPr>
          <w:rStyle w:val="normaltextrun"/>
          <w:rFonts w:asciiTheme="minorHAnsi" w:hAnsiTheme="minorHAnsi" w:cstheme="minorBidi"/>
          <w:sz w:val="22"/>
          <w:szCs w:val="22"/>
        </w:rPr>
        <w:t xml:space="preserve"> dete</w:t>
      </w:r>
      <w:r w:rsidR="1892695F" w:rsidRPr="5658DD38">
        <w:rPr>
          <w:rStyle w:val="normaltextrun"/>
          <w:rFonts w:asciiTheme="minorHAnsi" w:hAnsiTheme="minorHAnsi" w:cstheme="minorBidi"/>
          <w:sz w:val="22"/>
          <w:szCs w:val="22"/>
        </w:rPr>
        <w:t xml:space="preserve">cted considerable defoliation in </w:t>
      </w:r>
      <w:r w:rsidR="037FC722" w:rsidRPr="5658DD38">
        <w:rPr>
          <w:rStyle w:val="normaltextrun"/>
          <w:rFonts w:asciiTheme="minorHAnsi" w:hAnsiTheme="minorHAnsi" w:cstheme="minorBidi"/>
          <w:sz w:val="22"/>
          <w:szCs w:val="22"/>
        </w:rPr>
        <w:t>Caledonia and Orleans counties as well.</w:t>
      </w:r>
      <w:r w:rsidR="53486960" w:rsidRPr="5658DD38">
        <w:rPr>
          <w:rStyle w:val="normaltextrun"/>
          <w:rFonts w:asciiTheme="minorHAnsi" w:hAnsiTheme="minorHAnsi" w:cstheme="minorBidi"/>
          <w:sz w:val="22"/>
          <w:szCs w:val="22"/>
        </w:rPr>
        <w:t xml:space="preserve"> </w:t>
      </w:r>
    </w:p>
    <w:p w14:paraId="58628C9C" w14:textId="2C11A27C" w:rsidR="1F944C00" w:rsidRDefault="1F944C00" w:rsidP="0002DDED">
      <w:pPr>
        <w:pStyle w:val="paragraph"/>
        <w:spacing w:before="0" w:beforeAutospacing="0" w:after="0" w:afterAutospacing="0"/>
        <w:rPr>
          <w:rStyle w:val="normaltextrun"/>
        </w:rPr>
      </w:pPr>
    </w:p>
    <w:p w14:paraId="660CCE07" w14:textId="55C491E6" w:rsidR="0002DDED" w:rsidRDefault="0002DDED" w:rsidP="0002DDED">
      <w:pPr>
        <w:pStyle w:val="paragraph"/>
        <w:spacing w:before="0" w:beforeAutospacing="0" w:after="0" w:afterAutospacing="0"/>
        <w:rPr>
          <w:rStyle w:val="normaltextrun"/>
        </w:rPr>
      </w:pPr>
    </w:p>
    <w:p w14:paraId="318B5A18" w14:textId="307A56D2" w:rsidR="00611234" w:rsidRDefault="00611234" w:rsidP="00611234">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w:t>
      </w:r>
      <w:r>
        <w:rPr>
          <w:rStyle w:val="eop"/>
          <w:rFonts w:ascii="Calibri" w:hAnsi="Calibri" w:cs="Calibri"/>
          <w:color w:val="000000"/>
          <w:shd w:val="clear" w:color="auto" w:fill="FFFFFF"/>
        </w:rPr>
        <w:t> </w:t>
      </w:r>
    </w:p>
    <w:p w14:paraId="168A7A34" w14:textId="39FD7493" w:rsidR="00375953" w:rsidRDefault="00375953" w:rsidP="00611234">
      <w:pPr>
        <w:rPr>
          <w:rStyle w:val="eop"/>
          <w:rFonts w:ascii="Calibri" w:hAnsi="Calibri" w:cs="Calibri"/>
          <w:color w:val="000000"/>
          <w:shd w:val="clear" w:color="auto" w:fill="FFFFFF"/>
        </w:rPr>
      </w:pPr>
      <w:r>
        <w:rPr>
          <w:noProof/>
        </w:rPr>
        <w:lastRenderedPageBreak/>
        <w:drawing>
          <wp:anchor distT="0" distB="0" distL="114300" distR="114300" simplePos="0" relativeHeight="251663872" behindDoc="0" locked="0" layoutInCell="1" allowOverlap="1" wp14:anchorId="306D63AD" wp14:editId="341696BC">
            <wp:simplePos x="0" y="0"/>
            <wp:positionH relativeFrom="margin">
              <wp:align>center</wp:align>
            </wp:positionH>
            <wp:positionV relativeFrom="margin">
              <wp:posOffset>435512</wp:posOffset>
            </wp:positionV>
            <wp:extent cx="4986655" cy="6449695"/>
            <wp:effectExtent l="0" t="0" r="4445" b="8255"/>
            <wp:wrapTopAndBottom/>
            <wp:docPr id="8" name="Picture 8" descr="Locations and extent of pests affecting maple forests in Vermont.  Maple leafcutter was primarily found in central and northeastern Vermont, pear thrips was found in southwestern Vermont, and Saddled prominent and Anthracnose were both found in central Ver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cations and extent of pests affecting maple forests in Vermont.  Maple leafcutter was primarily found in central and northeastern Vermont, pear thrips was found in southwestern Vermont, and Saddled prominent and Anthracnose were both found in central Vermo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6655" cy="6449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DEE8D" w14:textId="77777777" w:rsidR="00375953" w:rsidRDefault="00375953" w:rsidP="00375953">
      <w:pPr>
        <w:rPr>
          <w:rStyle w:val="normaltextrun"/>
          <w:rFonts w:ascii="Calibri" w:hAnsi="Calibri" w:cs="Calibri"/>
          <w:b/>
          <w:bCs/>
          <w:color w:val="000000"/>
          <w:shd w:val="clear" w:color="auto" w:fill="FFFFFF"/>
        </w:rPr>
      </w:pPr>
    </w:p>
    <w:p w14:paraId="473B062F" w14:textId="77777777" w:rsidR="00375953" w:rsidRDefault="00375953" w:rsidP="00375953">
      <w:pPr>
        <w:rPr>
          <w:rStyle w:val="normaltextrun"/>
          <w:rFonts w:ascii="Calibri" w:hAnsi="Calibri" w:cs="Calibri"/>
          <w:b/>
          <w:bCs/>
          <w:color w:val="000000"/>
          <w:shd w:val="clear" w:color="auto" w:fill="FFFFFF"/>
        </w:rPr>
      </w:pPr>
    </w:p>
    <w:p w14:paraId="0F30B6CD" w14:textId="13A54B00" w:rsidR="00375953" w:rsidRDefault="00375953" w:rsidP="00375953">
      <w:pPr>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Figure 8.  </w:t>
      </w:r>
      <w:r>
        <w:rPr>
          <w:rStyle w:val="normaltextrun"/>
          <w:rFonts w:ascii="Calibri" w:hAnsi="Calibri" w:cs="Calibri"/>
          <w:color w:val="000000"/>
          <w:shd w:val="clear" w:color="auto" w:fill="FFFFFF"/>
        </w:rPr>
        <w:t>Areas of Vermont affected by maple stressors in 2021 based on aerial detection surveys.</w:t>
      </w:r>
      <w:r>
        <w:rPr>
          <w:rStyle w:val="eop"/>
          <w:rFonts w:ascii="Calibri" w:hAnsi="Calibri" w:cs="Calibri"/>
          <w:color w:val="000000"/>
          <w:shd w:val="clear" w:color="auto" w:fill="FFFFFF"/>
        </w:rPr>
        <w:t> </w:t>
      </w:r>
    </w:p>
    <w:p w14:paraId="710C77D1" w14:textId="474FFDB7" w:rsidR="00375953" w:rsidRDefault="00375953" w:rsidP="00611234">
      <w:pPr>
        <w:rPr>
          <w:rStyle w:val="eop"/>
          <w:rFonts w:ascii="Calibri" w:hAnsi="Calibri" w:cs="Calibri"/>
          <w:color w:val="000000"/>
          <w:shd w:val="clear" w:color="auto" w:fill="FFFFFF"/>
        </w:rPr>
      </w:pPr>
    </w:p>
    <w:p w14:paraId="160F1D76" w14:textId="77777777" w:rsidR="00375953" w:rsidRDefault="00375953" w:rsidP="00ED6144">
      <w:pPr>
        <w:pStyle w:val="Heading3"/>
        <w:rPr>
          <w:rStyle w:val="normaltextrun"/>
        </w:rPr>
      </w:pPr>
    </w:p>
    <w:p w14:paraId="15D0D6D1" w14:textId="77777777" w:rsidR="00375953" w:rsidRDefault="00375953" w:rsidP="00375953">
      <w:pPr>
        <w:rPr>
          <w:rStyle w:val="normaltextrun"/>
          <w:rFonts w:ascii="Calibri" w:hAnsi="Calibri" w:cs="Calibri"/>
          <w:color w:val="000000"/>
          <w:shd w:val="clear" w:color="auto" w:fill="FFFFFF"/>
        </w:rPr>
      </w:pPr>
      <w:r>
        <w:rPr>
          <w:rStyle w:val="normaltextrun"/>
          <w:rFonts w:ascii="Calibri" w:hAnsi="Calibri" w:cs="Calibri"/>
          <w:b/>
          <w:bCs/>
          <w:color w:val="000000"/>
          <w:shd w:val="clear" w:color="auto" w:fill="FFFFFF"/>
        </w:rPr>
        <w:t>Figure 9. </w:t>
      </w:r>
      <w:r>
        <w:rPr>
          <w:rStyle w:val="normaltextrun"/>
          <w:rFonts w:ascii="Calibri" w:hAnsi="Calibri" w:cs="Calibri"/>
          <w:color w:val="000000"/>
          <w:shd w:val="clear" w:color="auto" w:fill="FFFFFF"/>
        </w:rPr>
        <w:t> Damage caused by maple leafcutter (MLC) in northeastern Vermont.  Image was captured during aerial detection surveys on September 13, 2021. (</w:t>
      </w:r>
      <w:proofErr w:type="gramStart"/>
      <w:r>
        <w:rPr>
          <w:rStyle w:val="normaltextrun"/>
          <w:rFonts w:ascii="Calibri" w:hAnsi="Calibri" w:cs="Calibri"/>
          <w:color w:val="000000"/>
          <w:shd w:val="clear" w:color="auto" w:fill="FFFFFF"/>
        </w:rPr>
        <w:t>credit</w:t>
      </w:r>
      <w:proofErr w:type="gramEnd"/>
      <w:r>
        <w:rPr>
          <w:rStyle w:val="normaltextrun"/>
          <w:rFonts w:ascii="Calibri" w:hAnsi="Calibri" w:cs="Calibri"/>
          <w:color w:val="000000"/>
          <w:shd w:val="clear" w:color="auto" w:fill="FFFFFF"/>
        </w:rPr>
        <w:t>: FPR staff)</w:t>
      </w:r>
    </w:p>
    <w:p w14:paraId="7E82089B" w14:textId="7863570A" w:rsidR="00611234" w:rsidRDefault="00375953" w:rsidP="00ED6144">
      <w:pPr>
        <w:pStyle w:val="Heading3"/>
        <w:rPr>
          <w:rStyle w:val="normaltextrun"/>
        </w:rPr>
      </w:pPr>
      <w:r>
        <w:rPr>
          <w:noProof/>
        </w:rPr>
        <w:drawing>
          <wp:anchor distT="0" distB="0" distL="114300" distR="114300" simplePos="0" relativeHeight="251667968" behindDoc="0" locked="0" layoutInCell="1" allowOverlap="1" wp14:anchorId="1EA411A1" wp14:editId="2C273D31">
            <wp:simplePos x="0" y="0"/>
            <wp:positionH relativeFrom="margin">
              <wp:posOffset>965738</wp:posOffset>
            </wp:positionH>
            <wp:positionV relativeFrom="margin">
              <wp:align>top</wp:align>
            </wp:positionV>
            <wp:extent cx="3983990" cy="2496820"/>
            <wp:effectExtent l="0" t="0" r="0" b="0"/>
            <wp:wrapTopAndBottom/>
            <wp:docPr id="9" name="Picture 9" descr="Image of maple leafcutter defoliation shows patches of brown and pink amid surrounding forests with green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maple leafcutter defoliation shows patches of brown and pink amid surrounding forests with green foli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3990" cy="2496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5CC85" w14:textId="67BE82EA" w:rsidR="00ED6144" w:rsidRPr="00ED6144" w:rsidRDefault="00C03CED" w:rsidP="00ED6144">
      <w:pPr>
        <w:pStyle w:val="Heading3"/>
        <w:rPr>
          <w:rStyle w:val="normaltextrun"/>
        </w:rPr>
      </w:pPr>
      <w:r w:rsidRPr="00ED6144">
        <w:rPr>
          <w:rStyle w:val="normaltextrun"/>
        </w:rPr>
        <w:t xml:space="preserve">Saddled </w:t>
      </w:r>
      <w:r w:rsidR="00ED6144" w:rsidRPr="00ED6144">
        <w:rPr>
          <w:rStyle w:val="normaltextrun"/>
        </w:rPr>
        <w:t>P</w:t>
      </w:r>
      <w:r w:rsidRPr="00ED6144">
        <w:rPr>
          <w:rStyle w:val="normaltextrun"/>
        </w:rPr>
        <w:t>rominent </w:t>
      </w:r>
    </w:p>
    <w:p w14:paraId="08A962CB" w14:textId="2E649CE0" w:rsidR="00A95CCB" w:rsidRDefault="00ED6144" w:rsidP="5658DD38">
      <w:pPr>
        <w:pStyle w:val="paragraph"/>
        <w:spacing w:before="0" w:beforeAutospacing="0" w:after="0" w:afterAutospacing="0"/>
        <w:rPr>
          <w:rStyle w:val="normaltextrun"/>
          <w:rFonts w:asciiTheme="minorHAnsi" w:hAnsiTheme="minorHAnsi" w:cstheme="minorBidi"/>
          <w:sz w:val="22"/>
          <w:szCs w:val="22"/>
        </w:rPr>
      </w:pPr>
      <w:r w:rsidRPr="5658DD38">
        <w:rPr>
          <w:rStyle w:val="normaltextrun"/>
          <w:rFonts w:asciiTheme="minorHAnsi" w:hAnsiTheme="minorHAnsi" w:cstheme="minorBidi"/>
          <w:sz w:val="22"/>
          <w:szCs w:val="22"/>
        </w:rPr>
        <w:t>Saddled prominent </w:t>
      </w:r>
      <w:r w:rsidR="00C03CED" w:rsidRPr="5658DD38">
        <w:rPr>
          <w:rStyle w:val="normaltextrun"/>
          <w:rFonts w:asciiTheme="minorHAnsi" w:hAnsiTheme="minorHAnsi" w:cstheme="minorBidi"/>
          <w:sz w:val="22"/>
          <w:szCs w:val="22"/>
        </w:rPr>
        <w:t>(SP) are hardwood defoliators native to the northeastern United States.  Although a native insect, heavy and repeated defoliation can lead to dieback and mortality of infested hosts. Increased reports of defoliation during the growing season of 2020 led to trapping efforts in 2021. In 2021, reports of defoliation were received from </w:t>
      </w:r>
      <w:r w:rsidR="6E0EA4BD" w:rsidRPr="5658DD38">
        <w:rPr>
          <w:rStyle w:val="normaltextrun"/>
          <w:rFonts w:asciiTheme="minorHAnsi" w:hAnsiTheme="minorHAnsi" w:cstheme="minorBidi"/>
          <w:sz w:val="22"/>
          <w:szCs w:val="22"/>
        </w:rPr>
        <w:t xml:space="preserve">Franklin and </w:t>
      </w:r>
      <w:r w:rsidR="00C03CED" w:rsidRPr="5658DD38">
        <w:rPr>
          <w:rStyle w:val="normaltextrun"/>
          <w:rFonts w:asciiTheme="minorHAnsi" w:hAnsiTheme="minorHAnsi" w:cstheme="minorBidi"/>
          <w:sz w:val="22"/>
          <w:szCs w:val="22"/>
        </w:rPr>
        <w:t>Windham</w:t>
      </w:r>
      <w:r w:rsidR="10AB7184" w:rsidRPr="5658DD38">
        <w:rPr>
          <w:rStyle w:val="normaltextrun"/>
          <w:rFonts w:asciiTheme="minorHAnsi" w:hAnsiTheme="minorHAnsi" w:cstheme="minorBidi"/>
          <w:sz w:val="22"/>
          <w:szCs w:val="22"/>
        </w:rPr>
        <w:t xml:space="preserve"> counties</w:t>
      </w:r>
      <w:r w:rsidR="00C03CED" w:rsidRPr="5658DD38">
        <w:rPr>
          <w:rStyle w:val="normaltextrun"/>
          <w:rFonts w:asciiTheme="minorHAnsi" w:hAnsiTheme="minorHAnsi" w:cstheme="minorBidi"/>
          <w:sz w:val="22"/>
          <w:szCs w:val="22"/>
        </w:rPr>
        <w:t>, </w:t>
      </w:r>
      <w:r w:rsidR="312C57EF" w:rsidRPr="5658DD38">
        <w:rPr>
          <w:rStyle w:val="normaltextrun"/>
          <w:rFonts w:asciiTheme="minorHAnsi" w:hAnsiTheme="minorHAnsi" w:cstheme="minorBidi"/>
          <w:sz w:val="22"/>
          <w:szCs w:val="22"/>
        </w:rPr>
        <w:t xml:space="preserve">but defoliation was recorded via aerial surveys in eight counties (Table </w:t>
      </w:r>
      <w:r w:rsidR="66F922AA" w:rsidRPr="5658DD38">
        <w:rPr>
          <w:rStyle w:val="normaltextrun"/>
          <w:rFonts w:asciiTheme="minorHAnsi" w:hAnsiTheme="minorHAnsi" w:cstheme="minorBidi"/>
          <w:sz w:val="22"/>
          <w:szCs w:val="22"/>
        </w:rPr>
        <w:t>2</w:t>
      </w:r>
      <w:r w:rsidR="312C57EF" w:rsidRPr="5658DD38">
        <w:rPr>
          <w:rStyle w:val="normaltextrun"/>
          <w:rFonts w:asciiTheme="minorHAnsi" w:hAnsiTheme="minorHAnsi" w:cstheme="minorBidi"/>
          <w:sz w:val="22"/>
          <w:szCs w:val="22"/>
        </w:rPr>
        <w:t>.).</w:t>
      </w:r>
    </w:p>
    <w:p w14:paraId="7DE33288" w14:textId="77777777" w:rsidR="00A95CCB" w:rsidRDefault="00A95CCB" w:rsidP="00A95CCB">
      <w:pPr>
        <w:rPr>
          <w:b/>
          <w:bCs/>
        </w:rPr>
      </w:pPr>
    </w:p>
    <w:p w14:paraId="317DC24A" w14:textId="50DBA7F8" w:rsidR="001C2127" w:rsidRDefault="00A95CCB" w:rsidP="00A95CCB">
      <w:pPr>
        <w:rPr>
          <w:rStyle w:val="normaltextrun"/>
        </w:rPr>
      </w:pPr>
      <w:r>
        <w:rPr>
          <w:rStyle w:val="normaltextrun"/>
          <w:rFonts w:ascii="Calibri" w:hAnsi="Calibri" w:cs="Calibri"/>
          <w:b/>
          <w:bCs/>
          <w:color w:val="000000"/>
          <w:shd w:val="clear" w:color="auto" w:fill="FFFFFF"/>
        </w:rPr>
        <w:t>Table 2</w:t>
      </w:r>
      <w:r>
        <w:rPr>
          <w:rStyle w:val="normaltextrun"/>
          <w:rFonts w:ascii="Calibri" w:hAnsi="Calibri" w:cs="Calibri"/>
          <w:i/>
          <w:iCs/>
          <w:color w:val="000000"/>
          <w:shd w:val="clear" w:color="auto" w:fill="FFFFFF"/>
        </w:rPr>
        <w:t>.  </w:t>
      </w:r>
      <w:r>
        <w:rPr>
          <w:rStyle w:val="normaltextrun"/>
          <w:rFonts w:ascii="Calibri" w:hAnsi="Calibri" w:cs="Calibri"/>
          <w:color w:val="000000"/>
          <w:shd w:val="clear" w:color="auto" w:fill="FFFFFF"/>
        </w:rPr>
        <w:t>Acres of forest affected by the four most prevalent stressors to maple in 2021.</w:t>
      </w:r>
      <w:r>
        <w:rPr>
          <w:rStyle w:val="eop"/>
          <w:rFonts w:ascii="Calibri" w:hAnsi="Calibri" w:cs="Calibri"/>
          <w:color w:val="000000"/>
          <w:shd w:val="clear" w:color="auto" w:fill="FFFFFF"/>
        </w:rPr>
        <w:t> </w:t>
      </w:r>
    </w:p>
    <w:tbl>
      <w:tblPr>
        <w:tblW w:w="95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845"/>
        <w:gridCol w:w="2070"/>
        <w:gridCol w:w="1620"/>
        <w:gridCol w:w="2160"/>
      </w:tblGrid>
      <w:tr w:rsidR="00FE3FD5" w:rsidRPr="00FA62B6" w14:paraId="5039B135" w14:textId="77777777" w:rsidTr="004E58AF">
        <w:trPr>
          <w:trHeight w:val="300"/>
          <w:tblHeader/>
        </w:trPr>
        <w:tc>
          <w:tcPr>
            <w:tcW w:w="1845" w:type="dxa"/>
            <w:tcBorders>
              <w:top w:val="single" w:sz="4" w:space="0" w:color="auto"/>
              <w:left w:val="nil"/>
              <w:bottom w:val="single" w:sz="6" w:space="0" w:color="auto"/>
              <w:right w:val="nil"/>
            </w:tcBorders>
            <w:shd w:val="clear" w:color="auto" w:fill="auto"/>
            <w:vAlign w:val="bottom"/>
            <w:hideMark/>
          </w:tcPr>
          <w:p w14:paraId="5A2F6073"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County </w:t>
            </w:r>
          </w:p>
        </w:tc>
        <w:tc>
          <w:tcPr>
            <w:tcW w:w="1845" w:type="dxa"/>
            <w:tcBorders>
              <w:top w:val="single" w:sz="4" w:space="0" w:color="auto"/>
              <w:left w:val="nil"/>
              <w:bottom w:val="single" w:sz="4" w:space="0" w:color="auto"/>
              <w:right w:val="nil"/>
            </w:tcBorders>
            <w:shd w:val="clear" w:color="auto" w:fill="auto"/>
            <w:vAlign w:val="bottom"/>
            <w:hideMark/>
          </w:tcPr>
          <w:p w14:paraId="66940FEA"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Anthracnose </w:t>
            </w:r>
            <w:r>
              <w:rPr>
                <w:rFonts w:ascii="Calibri" w:eastAsia="Times New Roman" w:hAnsi="Calibri" w:cs="Calibri"/>
                <w:color w:val="000000"/>
              </w:rPr>
              <w:t>(</w:t>
            </w:r>
            <w:r>
              <w:rPr>
                <w:rFonts w:eastAsia="Times New Roman"/>
              </w:rPr>
              <w:t>ac.)</w:t>
            </w:r>
          </w:p>
        </w:tc>
        <w:tc>
          <w:tcPr>
            <w:tcW w:w="2070" w:type="dxa"/>
            <w:tcBorders>
              <w:top w:val="single" w:sz="4" w:space="0" w:color="auto"/>
              <w:left w:val="nil"/>
              <w:bottom w:val="single" w:sz="6" w:space="0" w:color="auto"/>
              <w:right w:val="nil"/>
            </w:tcBorders>
            <w:shd w:val="clear" w:color="auto" w:fill="auto"/>
            <w:vAlign w:val="bottom"/>
            <w:hideMark/>
          </w:tcPr>
          <w:p w14:paraId="593372AD"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Maple leafcutter </w:t>
            </w:r>
            <w:r>
              <w:rPr>
                <w:rFonts w:ascii="Calibri" w:eastAsia="Times New Roman" w:hAnsi="Calibri" w:cs="Calibri"/>
                <w:color w:val="000000"/>
              </w:rPr>
              <w:t>(</w:t>
            </w:r>
            <w:r>
              <w:rPr>
                <w:rFonts w:eastAsia="Times New Roman"/>
              </w:rPr>
              <w:t>ac.)</w:t>
            </w:r>
          </w:p>
        </w:tc>
        <w:tc>
          <w:tcPr>
            <w:tcW w:w="1620" w:type="dxa"/>
            <w:tcBorders>
              <w:top w:val="single" w:sz="4" w:space="0" w:color="auto"/>
              <w:left w:val="nil"/>
              <w:bottom w:val="single" w:sz="6" w:space="0" w:color="auto"/>
              <w:right w:val="nil"/>
            </w:tcBorders>
            <w:shd w:val="clear" w:color="auto" w:fill="auto"/>
            <w:vAlign w:val="bottom"/>
            <w:hideMark/>
          </w:tcPr>
          <w:p w14:paraId="25C33B8E"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Pear Thrips </w:t>
            </w:r>
            <w:r>
              <w:rPr>
                <w:rFonts w:ascii="Calibri" w:eastAsia="Times New Roman" w:hAnsi="Calibri" w:cs="Calibri"/>
                <w:color w:val="000000"/>
              </w:rPr>
              <w:t>(ac.)</w:t>
            </w:r>
          </w:p>
        </w:tc>
        <w:tc>
          <w:tcPr>
            <w:tcW w:w="2160" w:type="dxa"/>
            <w:tcBorders>
              <w:top w:val="single" w:sz="4" w:space="0" w:color="auto"/>
              <w:left w:val="nil"/>
              <w:bottom w:val="single" w:sz="6" w:space="0" w:color="auto"/>
              <w:right w:val="nil"/>
            </w:tcBorders>
            <w:shd w:val="clear" w:color="auto" w:fill="auto"/>
            <w:vAlign w:val="bottom"/>
            <w:hideMark/>
          </w:tcPr>
          <w:p w14:paraId="4DD06EDB"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Saddled Prominent </w:t>
            </w:r>
            <w:r>
              <w:rPr>
                <w:rFonts w:ascii="Calibri" w:eastAsia="Times New Roman" w:hAnsi="Calibri" w:cs="Calibri"/>
                <w:color w:val="000000"/>
              </w:rPr>
              <w:t>(ac.)</w:t>
            </w:r>
          </w:p>
        </w:tc>
      </w:tr>
      <w:tr w:rsidR="00FE3FD5" w:rsidRPr="00FA62B6" w14:paraId="68B4CB89" w14:textId="77777777" w:rsidTr="004E58AF">
        <w:trPr>
          <w:trHeight w:val="300"/>
        </w:trPr>
        <w:tc>
          <w:tcPr>
            <w:tcW w:w="1845" w:type="dxa"/>
            <w:tcBorders>
              <w:top w:val="single" w:sz="6" w:space="0" w:color="auto"/>
              <w:left w:val="nil"/>
              <w:bottom w:val="nil"/>
              <w:right w:val="nil"/>
            </w:tcBorders>
            <w:shd w:val="clear" w:color="auto" w:fill="auto"/>
            <w:vAlign w:val="bottom"/>
            <w:hideMark/>
          </w:tcPr>
          <w:p w14:paraId="50501C70"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ADDISON </w:t>
            </w:r>
          </w:p>
        </w:tc>
        <w:tc>
          <w:tcPr>
            <w:tcW w:w="1845" w:type="dxa"/>
            <w:tcBorders>
              <w:top w:val="single" w:sz="4" w:space="0" w:color="auto"/>
              <w:left w:val="nil"/>
              <w:bottom w:val="nil"/>
              <w:right w:val="nil"/>
            </w:tcBorders>
            <w:shd w:val="clear" w:color="auto" w:fill="auto"/>
            <w:vAlign w:val="bottom"/>
            <w:hideMark/>
          </w:tcPr>
          <w:p w14:paraId="2C5FDAE4"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110 </w:t>
            </w:r>
          </w:p>
        </w:tc>
        <w:tc>
          <w:tcPr>
            <w:tcW w:w="2070" w:type="dxa"/>
            <w:tcBorders>
              <w:top w:val="single" w:sz="6" w:space="0" w:color="auto"/>
              <w:left w:val="nil"/>
              <w:bottom w:val="nil"/>
              <w:right w:val="nil"/>
            </w:tcBorders>
            <w:shd w:val="clear" w:color="auto" w:fill="auto"/>
            <w:vAlign w:val="bottom"/>
            <w:hideMark/>
          </w:tcPr>
          <w:p w14:paraId="745D2D60"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237 </w:t>
            </w:r>
          </w:p>
        </w:tc>
        <w:tc>
          <w:tcPr>
            <w:tcW w:w="1620" w:type="dxa"/>
            <w:tcBorders>
              <w:top w:val="single" w:sz="6" w:space="0" w:color="auto"/>
              <w:left w:val="nil"/>
              <w:bottom w:val="nil"/>
              <w:right w:val="nil"/>
            </w:tcBorders>
            <w:shd w:val="clear" w:color="auto" w:fill="auto"/>
            <w:vAlign w:val="bottom"/>
            <w:hideMark/>
          </w:tcPr>
          <w:p w14:paraId="35A29FD5"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160" w:type="dxa"/>
            <w:tcBorders>
              <w:top w:val="single" w:sz="6" w:space="0" w:color="auto"/>
              <w:left w:val="nil"/>
              <w:bottom w:val="nil"/>
              <w:right w:val="nil"/>
            </w:tcBorders>
            <w:shd w:val="clear" w:color="auto" w:fill="auto"/>
            <w:vAlign w:val="bottom"/>
            <w:hideMark/>
          </w:tcPr>
          <w:p w14:paraId="3ADA6DD8"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181 </w:t>
            </w:r>
          </w:p>
        </w:tc>
      </w:tr>
      <w:tr w:rsidR="00FE3FD5" w:rsidRPr="00FA62B6" w14:paraId="7C58DD10" w14:textId="77777777" w:rsidTr="004E58AF">
        <w:trPr>
          <w:trHeight w:val="300"/>
        </w:trPr>
        <w:tc>
          <w:tcPr>
            <w:tcW w:w="1845" w:type="dxa"/>
            <w:tcBorders>
              <w:top w:val="nil"/>
              <w:left w:val="nil"/>
              <w:bottom w:val="nil"/>
              <w:right w:val="nil"/>
            </w:tcBorders>
            <w:shd w:val="clear" w:color="auto" w:fill="auto"/>
            <w:vAlign w:val="bottom"/>
            <w:hideMark/>
          </w:tcPr>
          <w:p w14:paraId="7AF13F53"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BENNINGTON </w:t>
            </w:r>
          </w:p>
        </w:tc>
        <w:tc>
          <w:tcPr>
            <w:tcW w:w="1845" w:type="dxa"/>
            <w:tcBorders>
              <w:top w:val="nil"/>
              <w:left w:val="nil"/>
              <w:bottom w:val="nil"/>
              <w:right w:val="nil"/>
            </w:tcBorders>
            <w:shd w:val="clear" w:color="auto" w:fill="auto"/>
            <w:vAlign w:val="bottom"/>
            <w:hideMark/>
          </w:tcPr>
          <w:p w14:paraId="14175D53"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070" w:type="dxa"/>
            <w:tcBorders>
              <w:top w:val="nil"/>
              <w:left w:val="nil"/>
              <w:bottom w:val="nil"/>
              <w:right w:val="nil"/>
            </w:tcBorders>
            <w:shd w:val="clear" w:color="auto" w:fill="auto"/>
            <w:vAlign w:val="bottom"/>
            <w:hideMark/>
          </w:tcPr>
          <w:p w14:paraId="5F63EA87"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1620" w:type="dxa"/>
            <w:tcBorders>
              <w:top w:val="nil"/>
              <w:left w:val="nil"/>
              <w:bottom w:val="nil"/>
              <w:right w:val="nil"/>
            </w:tcBorders>
            <w:shd w:val="clear" w:color="auto" w:fill="auto"/>
            <w:vAlign w:val="bottom"/>
            <w:hideMark/>
          </w:tcPr>
          <w:p w14:paraId="172931C9"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2262 </w:t>
            </w:r>
          </w:p>
        </w:tc>
        <w:tc>
          <w:tcPr>
            <w:tcW w:w="2160" w:type="dxa"/>
            <w:tcBorders>
              <w:top w:val="nil"/>
              <w:left w:val="nil"/>
              <w:bottom w:val="nil"/>
              <w:right w:val="nil"/>
            </w:tcBorders>
            <w:shd w:val="clear" w:color="auto" w:fill="auto"/>
            <w:vAlign w:val="bottom"/>
            <w:hideMark/>
          </w:tcPr>
          <w:p w14:paraId="22679F59"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355 </w:t>
            </w:r>
          </w:p>
        </w:tc>
      </w:tr>
      <w:tr w:rsidR="00FE3FD5" w:rsidRPr="00FA62B6" w14:paraId="30FC014B" w14:textId="77777777" w:rsidTr="004E58AF">
        <w:trPr>
          <w:trHeight w:val="300"/>
        </w:trPr>
        <w:tc>
          <w:tcPr>
            <w:tcW w:w="1845" w:type="dxa"/>
            <w:tcBorders>
              <w:top w:val="nil"/>
              <w:left w:val="nil"/>
              <w:bottom w:val="nil"/>
              <w:right w:val="nil"/>
            </w:tcBorders>
            <w:shd w:val="clear" w:color="auto" w:fill="auto"/>
            <w:vAlign w:val="bottom"/>
            <w:hideMark/>
          </w:tcPr>
          <w:p w14:paraId="7825B6CE"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CALEDONIA </w:t>
            </w:r>
          </w:p>
        </w:tc>
        <w:tc>
          <w:tcPr>
            <w:tcW w:w="1845" w:type="dxa"/>
            <w:tcBorders>
              <w:top w:val="nil"/>
              <w:left w:val="nil"/>
              <w:bottom w:val="nil"/>
              <w:right w:val="nil"/>
            </w:tcBorders>
            <w:shd w:val="clear" w:color="auto" w:fill="auto"/>
            <w:vAlign w:val="bottom"/>
            <w:hideMark/>
          </w:tcPr>
          <w:p w14:paraId="59E2F0C0"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070" w:type="dxa"/>
            <w:tcBorders>
              <w:top w:val="nil"/>
              <w:left w:val="nil"/>
              <w:bottom w:val="nil"/>
              <w:right w:val="nil"/>
            </w:tcBorders>
            <w:shd w:val="clear" w:color="auto" w:fill="auto"/>
            <w:vAlign w:val="bottom"/>
            <w:hideMark/>
          </w:tcPr>
          <w:p w14:paraId="723ACF96"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3859 </w:t>
            </w:r>
          </w:p>
        </w:tc>
        <w:tc>
          <w:tcPr>
            <w:tcW w:w="1620" w:type="dxa"/>
            <w:tcBorders>
              <w:top w:val="nil"/>
              <w:left w:val="nil"/>
              <w:bottom w:val="nil"/>
              <w:right w:val="nil"/>
            </w:tcBorders>
            <w:shd w:val="clear" w:color="auto" w:fill="auto"/>
            <w:vAlign w:val="bottom"/>
            <w:hideMark/>
          </w:tcPr>
          <w:p w14:paraId="553AA587"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160" w:type="dxa"/>
            <w:tcBorders>
              <w:top w:val="nil"/>
              <w:left w:val="nil"/>
              <w:bottom w:val="nil"/>
              <w:right w:val="nil"/>
            </w:tcBorders>
            <w:shd w:val="clear" w:color="auto" w:fill="auto"/>
            <w:vAlign w:val="bottom"/>
            <w:hideMark/>
          </w:tcPr>
          <w:p w14:paraId="45ED0595"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r>
      <w:tr w:rsidR="00FE3FD5" w:rsidRPr="00FA62B6" w14:paraId="31F3B341" w14:textId="77777777" w:rsidTr="004E58AF">
        <w:trPr>
          <w:trHeight w:val="300"/>
        </w:trPr>
        <w:tc>
          <w:tcPr>
            <w:tcW w:w="1845" w:type="dxa"/>
            <w:tcBorders>
              <w:top w:val="nil"/>
              <w:left w:val="nil"/>
              <w:bottom w:val="nil"/>
              <w:right w:val="nil"/>
            </w:tcBorders>
            <w:shd w:val="clear" w:color="auto" w:fill="auto"/>
            <w:vAlign w:val="bottom"/>
            <w:hideMark/>
          </w:tcPr>
          <w:p w14:paraId="4ECA5DC2"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CHITTENDEN </w:t>
            </w:r>
          </w:p>
        </w:tc>
        <w:tc>
          <w:tcPr>
            <w:tcW w:w="1845" w:type="dxa"/>
            <w:tcBorders>
              <w:top w:val="nil"/>
              <w:left w:val="nil"/>
              <w:bottom w:val="nil"/>
              <w:right w:val="nil"/>
            </w:tcBorders>
            <w:shd w:val="clear" w:color="auto" w:fill="auto"/>
            <w:vAlign w:val="bottom"/>
            <w:hideMark/>
          </w:tcPr>
          <w:p w14:paraId="447BA834"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070" w:type="dxa"/>
            <w:tcBorders>
              <w:top w:val="nil"/>
              <w:left w:val="nil"/>
              <w:bottom w:val="nil"/>
              <w:right w:val="nil"/>
            </w:tcBorders>
            <w:shd w:val="clear" w:color="auto" w:fill="auto"/>
            <w:vAlign w:val="bottom"/>
            <w:hideMark/>
          </w:tcPr>
          <w:p w14:paraId="56F0ACBB"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1620" w:type="dxa"/>
            <w:tcBorders>
              <w:top w:val="nil"/>
              <w:left w:val="nil"/>
              <w:bottom w:val="nil"/>
              <w:right w:val="nil"/>
            </w:tcBorders>
            <w:shd w:val="clear" w:color="auto" w:fill="auto"/>
            <w:vAlign w:val="bottom"/>
            <w:hideMark/>
          </w:tcPr>
          <w:p w14:paraId="6A1F539A"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160" w:type="dxa"/>
            <w:tcBorders>
              <w:top w:val="nil"/>
              <w:left w:val="nil"/>
              <w:bottom w:val="nil"/>
              <w:right w:val="nil"/>
            </w:tcBorders>
            <w:shd w:val="clear" w:color="auto" w:fill="auto"/>
            <w:vAlign w:val="bottom"/>
            <w:hideMark/>
          </w:tcPr>
          <w:p w14:paraId="4ED73AB3"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r>
      <w:tr w:rsidR="00FE3FD5" w:rsidRPr="00FA62B6" w14:paraId="185C9E27" w14:textId="77777777" w:rsidTr="004E58AF">
        <w:trPr>
          <w:trHeight w:val="300"/>
        </w:trPr>
        <w:tc>
          <w:tcPr>
            <w:tcW w:w="1845" w:type="dxa"/>
            <w:tcBorders>
              <w:top w:val="nil"/>
              <w:left w:val="nil"/>
              <w:bottom w:val="nil"/>
              <w:right w:val="nil"/>
            </w:tcBorders>
            <w:shd w:val="clear" w:color="auto" w:fill="auto"/>
            <w:vAlign w:val="bottom"/>
            <w:hideMark/>
          </w:tcPr>
          <w:p w14:paraId="6D30905D"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ESSEX </w:t>
            </w:r>
          </w:p>
        </w:tc>
        <w:tc>
          <w:tcPr>
            <w:tcW w:w="1845" w:type="dxa"/>
            <w:tcBorders>
              <w:top w:val="nil"/>
              <w:left w:val="nil"/>
              <w:bottom w:val="nil"/>
              <w:right w:val="nil"/>
            </w:tcBorders>
            <w:shd w:val="clear" w:color="auto" w:fill="auto"/>
            <w:vAlign w:val="bottom"/>
            <w:hideMark/>
          </w:tcPr>
          <w:p w14:paraId="7B1F321F"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070" w:type="dxa"/>
            <w:tcBorders>
              <w:top w:val="nil"/>
              <w:left w:val="nil"/>
              <w:bottom w:val="nil"/>
              <w:right w:val="nil"/>
            </w:tcBorders>
            <w:shd w:val="clear" w:color="auto" w:fill="auto"/>
            <w:vAlign w:val="bottom"/>
            <w:hideMark/>
          </w:tcPr>
          <w:p w14:paraId="76D2D6A7"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424 </w:t>
            </w:r>
          </w:p>
        </w:tc>
        <w:tc>
          <w:tcPr>
            <w:tcW w:w="1620" w:type="dxa"/>
            <w:tcBorders>
              <w:top w:val="nil"/>
              <w:left w:val="nil"/>
              <w:bottom w:val="nil"/>
              <w:right w:val="nil"/>
            </w:tcBorders>
            <w:shd w:val="clear" w:color="auto" w:fill="auto"/>
            <w:vAlign w:val="bottom"/>
            <w:hideMark/>
          </w:tcPr>
          <w:p w14:paraId="1181CD91"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160" w:type="dxa"/>
            <w:tcBorders>
              <w:top w:val="nil"/>
              <w:left w:val="nil"/>
              <w:bottom w:val="nil"/>
              <w:right w:val="nil"/>
            </w:tcBorders>
            <w:shd w:val="clear" w:color="auto" w:fill="auto"/>
            <w:vAlign w:val="bottom"/>
            <w:hideMark/>
          </w:tcPr>
          <w:p w14:paraId="3BB7E1C2"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r>
      <w:tr w:rsidR="00FE3FD5" w:rsidRPr="00FA62B6" w14:paraId="36728A24" w14:textId="77777777" w:rsidTr="004E58AF">
        <w:trPr>
          <w:trHeight w:val="300"/>
        </w:trPr>
        <w:tc>
          <w:tcPr>
            <w:tcW w:w="1845" w:type="dxa"/>
            <w:tcBorders>
              <w:top w:val="nil"/>
              <w:left w:val="nil"/>
              <w:bottom w:val="nil"/>
              <w:right w:val="nil"/>
            </w:tcBorders>
            <w:shd w:val="clear" w:color="auto" w:fill="auto"/>
            <w:vAlign w:val="bottom"/>
            <w:hideMark/>
          </w:tcPr>
          <w:p w14:paraId="342C0D5E"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FRANKLIN </w:t>
            </w:r>
          </w:p>
        </w:tc>
        <w:tc>
          <w:tcPr>
            <w:tcW w:w="1845" w:type="dxa"/>
            <w:tcBorders>
              <w:top w:val="nil"/>
              <w:left w:val="nil"/>
              <w:bottom w:val="nil"/>
              <w:right w:val="nil"/>
            </w:tcBorders>
            <w:shd w:val="clear" w:color="auto" w:fill="auto"/>
            <w:vAlign w:val="bottom"/>
            <w:hideMark/>
          </w:tcPr>
          <w:p w14:paraId="1909A8C4"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070" w:type="dxa"/>
            <w:tcBorders>
              <w:top w:val="nil"/>
              <w:left w:val="nil"/>
              <w:bottom w:val="nil"/>
              <w:right w:val="nil"/>
            </w:tcBorders>
            <w:shd w:val="clear" w:color="auto" w:fill="auto"/>
            <w:vAlign w:val="bottom"/>
            <w:hideMark/>
          </w:tcPr>
          <w:p w14:paraId="229C23F9"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26 </w:t>
            </w:r>
          </w:p>
        </w:tc>
        <w:tc>
          <w:tcPr>
            <w:tcW w:w="1620" w:type="dxa"/>
            <w:tcBorders>
              <w:top w:val="nil"/>
              <w:left w:val="nil"/>
              <w:bottom w:val="nil"/>
              <w:right w:val="nil"/>
            </w:tcBorders>
            <w:shd w:val="clear" w:color="auto" w:fill="auto"/>
            <w:vAlign w:val="bottom"/>
            <w:hideMark/>
          </w:tcPr>
          <w:p w14:paraId="5B1CC6D8"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160" w:type="dxa"/>
            <w:tcBorders>
              <w:top w:val="nil"/>
              <w:left w:val="nil"/>
              <w:bottom w:val="nil"/>
              <w:right w:val="nil"/>
            </w:tcBorders>
            <w:shd w:val="clear" w:color="auto" w:fill="auto"/>
            <w:vAlign w:val="bottom"/>
            <w:hideMark/>
          </w:tcPr>
          <w:p w14:paraId="7A053FEE"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r>
      <w:tr w:rsidR="00FE3FD5" w:rsidRPr="00FA62B6" w14:paraId="76E6207A" w14:textId="77777777" w:rsidTr="004E58AF">
        <w:trPr>
          <w:trHeight w:val="300"/>
        </w:trPr>
        <w:tc>
          <w:tcPr>
            <w:tcW w:w="1845" w:type="dxa"/>
            <w:tcBorders>
              <w:top w:val="nil"/>
              <w:left w:val="nil"/>
              <w:bottom w:val="nil"/>
              <w:right w:val="nil"/>
            </w:tcBorders>
            <w:shd w:val="clear" w:color="auto" w:fill="auto"/>
            <w:vAlign w:val="bottom"/>
            <w:hideMark/>
          </w:tcPr>
          <w:p w14:paraId="632A6A82"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GRAND ISLE </w:t>
            </w:r>
          </w:p>
        </w:tc>
        <w:tc>
          <w:tcPr>
            <w:tcW w:w="1845" w:type="dxa"/>
            <w:tcBorders>
              <w:top w:val="nil"/>
              <w:left w:val="nil"/>
              <w:bottom w:val="nil"/>
              <w:right w:val="nil"/>
            </w:tcBorders>
            <w:shd w:val="clear" w:color="auto" w:fill="auto"/>
            <w:vAlign w:val="bottom"/>
            <w:hideMark/>
          </w:tcPr>
          <w:p w14:paraId="6D44D87D"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070" w:type="dxa"/>
            <w:tcBorders>
              <w:top w:val="nil"/>
              <w:left w:val="nil"/>
              <w:bottom w:val="nil"/>
              <w:right w:val="nil"/>
            </w:tcBorders>
            <w:shd w:val="clear" w:color="auto" w:fill="auto"/>
            <w:vAlign w:val="bottom"/>
            <w:hideMark/>
          </w:tcPr>
          <w:p w14:paraId="05321665"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1620" w:type="dxa"/>
            <w:tcBorders>
              <w:top w:val="nil"/>
              <w:left w:val="nil"/>
              <w:bottom w:val="nil"/>
              <w:right w:val="nil"/>
            </w:tcBorders>
            <w:shd w:val="clear" w:color="auto" w:fill="auto"/>
            <w:vAlign w:val="bottom"/>
            <w:hideMark/>
          </w:tcPr>
          <w:p w14:paraId="6D91D237"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160" w:type="dxa"/>
            <w:tcBorders>
              <w:top w:val="nil"/>
              <w:left w:val="nil"/>
              <w:bottom w:val="nil"/>
              <w:right w:val="nil"/>
            </w:tcBorders>
            <w:shd w:val="clear" w:color="auto" w:fill="auto"/>
            <w:vAlign w:val="bottom"/>
            <w:hideMark/>
          </w:tcPr>
          <w:p w14:paraId="0E3A8AA9"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r>
      <w:tr w:rsidR="00FE3FD5" w:rsidRPr="00FA62B6" w14:paraId="70D723A9" w14:textId="77777777" w:rsidTr="004E58AF">
        <w:trPr>
          <w:trHeight w:val="300"/>
        </w:trPr>
        <w:tc>
          <w:tcPr>
            <w:tcW w:w="1845" w:type="dxa"/>
            <w:tcBorders>
              <w:top w:val="nil"/>
              <w:left w:val="nil"/>
              <w:bottom w:val="nil"/>
              <w:right w:val="nil"/>
            </w:tcBorders>
            <w:shd w:val="clear" w:color="auto" w:fill="auto"/>
            <w:vAlign w:val="bottom"/>
            <w:hideMark/>
          </w:tcPr>
          <w:p w14:paraId="7578D32A"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LAMOILLE </w:t>
            </w:r>
          </w:p>
        </w:tc>
        <w:tc>
          <w:tcPr>
            <w:tcW w:w="1845" w:type="dxa"/>
            <w:tcBorders>
              <w:top w:val="nil"/>
              <w:left w:val="nil"/>
              <w:bottom w:val="nil"/>
              <w:right w:val="nil"/>
            </w:tcBorders>
            <w:shd w:val="clear" w:color="auto" w:fill="auto"/>
            <w:vAlign w:val="bottom"/>
            <w:hideMark/>
          </w:tcPr>
          <w:p w14:paraId="3749F35C"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89 </w:t>
            </w:r>
          </w:p>
        </w:tc>
        <w:tc>
          <w:tcPr>
            <w:tcW w:w="2070" w:type="dxa"/>
            <w:tcBorders>
              <w:top w:val="nil"/>
              <w:left w:val="nil"/>
              <w:bottom w:val="nil"/>
              <w:right w:val="nil"/>
            </w:tcBorders>
            <w:shd w:val="clear" w:color="auto" w:fill="auto"/>
            <w:vAlign w:val="bottom"/>
            <w:hideMark/>
          </w:tcPr>
          <w:p w14:paraId="2B09E910"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96 </w:t>
            </w:r>
          </w:p>
        </w:tc>
        <w:tc>
          <w:tcPr>
            <w:tcW w:w="1620" w:type="dxa"/>
            <w:tcBorders>
              <w:top w:val="nil"/>
              <w:left w:val="nil"/>
              <w:bottom w:val="nil"/>
              <w:right w:val="nil"/>
            </w:tcBorders>
            <w:shd w:val="clear" w:color="auto" w:fill="auto"/>
            <w:vAlign w:val="bottom"/>
            <w:hideMark/>
          </w:tcPr>
          <w:p w14:paraId="363EE015"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160" w:type="dxa"/>
            <w:tcBorders>
              <w:top w:val="nil"/>
              <w:left w:val="nil"/>
              <w:bottom w:val="nil"/>
              <w:right w:val="nil"/>
            </w:tcBorders>
            <w:shd w:val="clear" w:color="auto" w:fill="auto"/>
            <w:vAlign w:val="bottom"/>
            <w:hideMark/>
          </w:tcPr>
          <w:p w14:paraId="2527543B"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r>
      <w:tr w:rsidR="00FE3FD5" w:rsidRPr="00FA62B6" w14:paraId="0C128F28" w14:textId="77777777" w:rsidTr="004E58AF">
        <w:trPr>
          <w:trHeight w:val="300"/>
        </w:trPr>
        <w:tc>
          <w:tcPr>
            <w:tcW w:w="1845" w:type="dxa"/>
            <w:tcBorders>
              <w:top w:val="nil"/>
              <w:left w:val="nil"/>
              <w:bottom w:val="nil"/>
              <w:right w:val="nil"/>
            </w:tcBorders>
            <w:shd w:val="clear" w:color="auto" w:fill="auto"/>
            <w:vAlign w:val="bottom"/>
            <w:hideMark/>
          </w:tcPr>
          <w:p w14:paraId="08800E7F"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ORANGE </w:t>
            </w:r>
          </w:p>
        </w:tc>
        <w:tc>
          <w:tcPr>
            <w:tcW w:w="1845" w:type="dxa"/>
            <w:tcBorders>
              <w:top w:val="nil"/>
              <w:left w:val="nil"/>
              <w:bottom w:val="nil"/>
              <w:right w:val="nil"/>
            </w:tcBorders>
            <w:shd w:val="clear" w:color="auto" w:fill="auto"/>
            <w:vAlign w:val="bottom"/>
            <w:hideMark/>
          </w:tcPr>
          <w:p w14:paraId="33B8DA9B"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138 </w:t>
            </w:r>
          </w:p>
        </w:tc>
        <w:tc>
          <w:tcPr>
            <w:tcW w:w="2070" w:type="dxa"/>
            <w:tcBorders>
              <w:top w:val="nil"/>
              <w:left w:val="nil"/>
              <w:bottom w:val="nil"/>
              <w:right w:val="nil"/>
            </w:tcBorders>
            <w:shd w:val="clear" w:color="auto" w:fill="auto"/>
            <w:vAlign w:val="bottom"/>
            <w:hideMark/>
          </w:tcPr>
          <w:p w14:paraId="55A73630"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9433 </w:t>
            </w:r>
          </w:p>
        </w:tc>
        <w:tc>
          <w:tcPr>
            <w:tcW w:w="1620" w:type="dxa"/>
            <w:tcBorders>
              <w:top w:val="nil"/>
              <w:left w:val="nil"/>
              <w:bottom w:val="nil"/>
              <w:right w:val="nil"/>
            </w:tcBorders>
            <w:shd w:val="clear" w:color="auto" w:fill="auto"/>
            <w:vAlign w:val="bottom"/>
            <w:hideMark/>
          </w:tcPr>
          <w:p w14:paraId="0AD6AD07"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160" w:type="dxa"/>
            <w:tcBorders>
              <w:top w:val="nil"/>
              <w:left w:val="nil"/>
              <w:bottom w:val="nil"/>
              <w:right w:val="nil"/>
            </w:tcBorders>
            <w:shd w:val="clear" w:color="auto" w:fill="auto"/>
            <w:vAlign w:val="bottom"/>
            <w:hideMark/>
          </w:tcPr>
          <w:p w14:paraId="68B893FF"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344 </w:t>
            </w:r>
          </w:p>
        </w:tc>
      </w:tr>
      <w:tr w:rsidR="00FE3FD5" w:rsidRPr="00FA62B6" w14:paraId="12B303F9" w14:textId="77777777" w:rsidTr="004E58AF">
        <w:trPr>
          <w:trHeight w:val="300"/>
        </w:trPr>
        <w:tc>
          <w:tcPr>
            <w:tcW w:w="1845" w:type="dxa"/>
            <w:tcBorders>
              <w:top w:val="nil"/>
              <w:left w:val="nil"/>
              <w:bottom w:val="nil"/>
              <w:right w:val="nil"/>
            </w:tcBorders>
            <w:shd w:val="clear" w:color="auto" w:fill="auto"/>
            <w:vAlign w:val="bottom"/>
            <w:hideMark/>
          </w:tcPr>
          <w:p w14:paraId="3F0AAC20"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ORLEANS </w:t>
            </w:r>
          </w:p>
        </w:tc>
        <w:tc>
          <w:tcPr>
            <w:tcW w:w="1845" w:type="dxa"/>
            <w:tcBorders>
              <w:top w:val="nil"/>
              <w:left w:val="nil"/>
              <w:bottom w:val="nil"/>
              <w:right w:val="nil"/>
            </w:tcBorders>
            <w:shd w:val="clear" w:color="auto" w:fill="auto"/>
            <w:vAlign w:val="bottom"/>
            <w:hideMark/>
          </w:tcPr>
          <w:p w14:paraId="177A231E"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43 </w:t>
            </w:r>
          </w:p>
        </w:tc>
        <w:tc>
          <w:tcPr>
            <w:tcW w:w="2070" w:type="dxa"/>
            <w:tcBorders>
              <w:top w:val="nil"/>
              <w:left w:val="nil"/>
              <w:bottom w:val="nil"/>
              <w:right w:val="nil"/>
            </w:tcBorders>
            <w:shd w:val="clear" w:color="auto" w:fill="auto"/>
            <w:vAlign w:val="bottom"/>
            <w:hideMark/>
          </w:tcPr>
          <w:p w14:paraId="43A1E10F"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5489 </w:t>
            </w:r>
          </w:p>
        </w:tc>
        <w:tc>
          <w:tcPr>
            <w:tcW w:w="1620" w:type="dxa"/>
            <w:tcBorders>
              <w:top w:val="nil"/>
              <w:left w:val="nil"/>
              <w:bottom w:val="nil"/>
              <w:right w:val="nil"/>
            </w:tcBorders>
            <w:shd w:val="clear" w:color="auto" w:fill="auto"/>
            <w:vAlign w:val="bottom"/>
            <w:hideMark/>
          </w:tcPr>
          <w:p w14:paraId="3443C7E7"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160" w:type="dxa"/>
            <w:tcBorders>
              <w:top w:val="nil"/>
              <w:left w:val="nil"/>
              <w:bottom w:val="nil"/>
              <w:right w:val="nil"/>
            </w:tcBorders>
            <w:shd w:val="clear" w:color="auto" w:fill="auto"/>
            <w:vAlign w:val="bottom"/>
            <w:hideMark/>
          </w:tcPr>
          <w:p w14:paraId="2758BF63"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79 </w:t>
            </w:r>
          </w:p>
        </w:tc>
      </w:tr>
      <w:tr w:rsidR="00FE3FD5" w:rsidRPr="00FA62B6" w14:paraId="2B2359E0" w14:textId="77777777" w:rsidTr="004E58AF">
        <w:trPr>
          <w:trHeight w:val="300"/>
        </w:trPr>
        <w:tc>
          <w:tcPr>
            <w:tcW w:w="1845" w:type="dxa"/>
            <w:tcBorders>
              <w:top w:val="nil"/>
              <w:left w:val="nil"/>
              <w:bottom w:val="nil"/>
              <w:right w:val="nil"/>
            </w:tcBorders>
            <w:shd w:val="clear" w:color="auto" w:fill="auto"/>
            <w:vAlign w:val="bottom"/>
            <w:hideMark/>
          </w:tcPr>
          <w:p w14:paraId="78AC141C"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RUTLAND </w:t>
            </w:r>
          </w:p>
        </w:tc>
        <w:tc>
          <w:tcPr>
            <w:tcW w:w="1845" w:type="dxa"/>
            <w:tcBorders>
              <w:top w:val="nil"/>
              <w:left w:val="nil"/>
              <w:bottom w:val="nil"/>
              <w:right w:val="nil"/>
            </w:tcBorders>
            <w:shd w:val="clear" w:color="auto" w:fill="auto"/>
            <w:vAlign w:val="bottom"/>
            <w:hideMark/>
          </w:tcPr>
          <w:p w14:paraId="7C8C8043"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243 </w:t>
            </w:r>
          </w:p>
        </w:tc>
        <w:tc>
          <w:tcPr>
            <w:tcW w:w="2070" w:type="dxa"/>
            <w:tcBorders>
              <w:top w:val="nil"/>
              <w:left w:val="nil"/>
              <w:bottom w:val="nil"/>
              <w:right w:val="nil"/>
            </w:tcBorders>
            <w:shd w:val="clear" w:color="auto" w:fill="auto"/>
            <w:vAlign w:val="bottom"/>
            <w:hideMark/>
          </w:tcPr>
          <w:p w14:paraId="3521818D"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343 </w:t>
            </w:r>
          </w:p>
        </w:tc>
        <w:tc>
          <w:tcPr>
            <w:tcW w:w="1620" w:type="dxa"/>
            <w:tcBorders>
              <w:top w:val="nil"/>
              <w:left w:val="nil"/>
              <w:bottom w:val="nil"/>
              <w:right w:val="nil"/>
            </w:tcBorders>
            <w:shd w:val="clear" w:color="auto" w:fill="auto"/>
            <w:vAlign w:val="bottom"/>
            <w:hideMark/>
          </w:tcPr>
          <w:p w14:paraId="6173D7C3"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1750 </w:t>
            </w:r>
          </w:p>
        </w:tc>
        <w:tc>
          <w:tcPr>
            <w:tcW w:w="2160" w:type="dxa"/>
            <w:tcBorders>
              <w:top w:val="nil"/>
              <w:left w:val="nil"/>
              <w:bottom w:val="nil"/>
              <w:right w:val="nil"/>
            </w:tcBorders>
            <w:shd w:val="clear" w:color="auto" w:fill="auto"/>
            <w:vAlign w:val="bottom"/>
            <w:hideMark/>
          </w:tcPr>
          <w:p w14:paraId="34293001"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206 </w:t>
            </w:r>
          </w:p>
        </w:tc>
      </w:tr>
      <w:tr w:rsidR="00FE3FD5" w:rsidRPr="00FA62B6" w14:paraId="22526F2B" w14:textId="77777777" w:rsidTr="004E58AF">
        <w:trPr>
          <w:trHeight w:val="300"/>
        </w:trPr>
        <w:tc>
          <w:tcPr>
            <w:tcW w:w="1845" w:type="dxa"/>
            <w:tcBorders>
              <w:top w:val="nil"/>
              <w:left w:val="nil"/>
              <w:bottom w:val="nil"/>
              <w:right w:val="nil"/>
            </w:tcBorders>
            <w:shd w:val="clear" w:color="auto" w:fill="auto"/>
            <w:vAlign w:val="bottom"/>
            <w:hideMark/>
          </w:tcPr>
          <w:p w14:paraId="063BB31B"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WASHINGTON </w:t>
            </w:r>
          </w:p>
        </w:tc>
        <w:tc>
          <w:tcPr>
            <w:tcW w:w="1845" w:type="dxa"/>
            <w:tcBorders>
              <w:top w:val="nil"/>
              <w:left w:val="nil"/>
              <w:bottom w:val="nil"/>
              <w:right w:val="nil"/>
            </w:tcBorders>
            <w:shd w:val="clear" w:color="auto" w:fill="auto"/>
            <w:vAlign w:val="bottom"/>
            <w:hideMark/>
          </w:tcPr>
          <w:p w14:paraId="3B52C649"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253 </w:t>
            </w:r>
          </w:p>
        </w:tc>
        <w:tc>
          <w:tcPr>
            <w:tcW w:w="2070" w:type="dxa"/>
            <w:tcBorders>
              <w:top w:val="nil"/>
              <w:left w:val="nil"/>
              <w:bottom w:val="nil"/>
              <w:right w:val="nil"/>
            </w:tcBorders>
            <w:shd w:val="clear" w:color="auto" w:fill="auto"/>
            <w:vAlign w:val="bottom"/>
            <w:hideMark/>
          </w:tcPr>
          <w:p w14:paraId="718DB030"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4090 </w:t>
            </w:r>
          </w:p>
        </w:tc>
        <w:tc>
          <w:tcPr>
            <w:tcW w:w="1620" w:type="dxa"/>
            <w:tcBorders>
              <w:top w:val="nil"/>
              <w:left w:val="nil"/>
              <w:bottom w:val="nil"/>
              <w:right w:val="nil"/>
            </w:tcBorders>
            <w:shd w:val="clear" w:color="auto" w:fill="auto"/>
            <w:vAlign w:val="bottom"/>
            <w:hideMark/>
          </w:tcPr>
          <w:p w14:paraId="63AD2130"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160" w:type="dxa"/>
            <w:tcBorders>
              <w:top w:val="nil"/>
              <w:left w:val="nil"/>
              <w:bottom w:val="nil"/>
              <w:right w:val="nil"/>
            </w:tcBorders>
            <w:shd w:val="clear" w:color="auto" w:fill="auto"/>
            <w:vAlign w:val="bottom"/>
            <w:hideMark/>
          </w:tcPr>
          <w:p w14:paraId="03DF231B"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401 </w:t>
            </w:r>
          </w:p>
        </w:tc>
      </w:tr>
      <w:tr w:rsidR="00FE3FD5" w:rsidRPr="00FA62B6" w14:paraId="677C0097" w14:textId="77777777" w:rsidTr="004E58AF">
        <w:trPr>
          <w:trHeight w:val="300"/>
        </w:trPr>
        <w:tc>
          <w:tcPr>
            <w:tcW w:w="1845" w:type="dxa"/>
            <w:tcBorders>
              <w:top w:val="nil"/>
              <w:left w:val="nil"/>
              <w:bottom w:val="nil"/>
              <w:right w:val="nil"/>
            </w:tcBorders>
            <w:shd w:val="clear" w:color="auto" w:fill="auto"/>
            <w:vAlign w:val="bottom"/>
            <w:hideMark/>
          </w:tcPr>
          <w:p w14:paraId="4F7F8C7A"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WINDHAM </w:t>
            </w:r>
          </w:p>
        </w:tc>
        <w:tc>
          <w:tcPr>
            <w:tcW w:w="1845" w:type="dxa"/>
            <w:tcBorders>
              <w:top w:val="nil"/>
              <w:left w:val="nil"/>
              <w:bottom w:val="nil"/>
              <w:right w:val="nil"/>
            </w:tcBorders>
            <w:shd w:val="clear" w:color="auto" w:fill="auto"/>
            <w:vAlign w:val="bottom"/>
            <w:hideMark/>
          </w:tcPr>
          <w:p w14:paraId="6B3D0593"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45 </w:t>
            </w:r>
          </w:p>
        </w:tc>
        <w:tc>
          <w:tcPr>
            <w:tcW w:w="2070" w:type="dxa"/>
            <w:tcBorders>
              <w:top w:val="nil"/>
              <w:left w:val="nil"/>
              <w:bottom w:val="nil"/>
              <w:right w:val="nil"/>
            </w:tcBorders>
            <w:shd w:val="clear" w:color="auto" w:fill="auto"/>
            <w:vAlign w:val="bottom"/>
            <w:hideMark/>
          </w:tcPr>
          <w:p w14:paraId="1F0BCFC4"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494 </w:t>
            </w:r>
          </w:p>
        </w:tc>
        <w:tc>
          <w:tcPr>
            <w:tcW w:w="1620" w:type="dxa"/>
            <w:tcBorders>
              <w:top w:val="nil"/>
              <w:left w:val="nil"/>
              <w:bottom w:val="nil"/>
              <w:right w:val="nil"/>
            </w:tcBorders>
            <w:shd w:val="clear" w:color="auto" w:fill="auto"/>
            <w:vAlign w:val="bottom"/>
            <w:hideMark/>
          </w:tcPr>
          <w:p w14:paraId="232E5351"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409 </w:t>
            </w:r>
          </w:p>
        </w:tc>
        <w:tc>
          <w:tcPr>
            <w:tcW w:w="2160" w:type="dxa"/>
            <w:tcBorders>
              <w:top w:val="nil"/>
              <w:left w:val="nil"/>
              <w:bottom w:val="nil"/>
              <w:right w:val="nil"/>
            </w:tcBorders>
            <w:shd w:val="clear" w:color="auto" w:fill="auto"/>
            <w:vAlign w:val="bottom"/>
            <w:hideMark/>
          </w:tcPr>
          <w:p w14:paraId="433F1E58"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350 </w:t>
            </w:r>
          </w:p>
        </w:tc>
      </w:tr>
      <w:tr w:rsidR="00FE3FD5" w:rsidRPr="00FA62B6" w14:paraId="367BA5EE" w14:textId="77777777" w:rsidTr="004E58AF">
        <w:trPr>
          <w:trHeight w:val="300"/>
        </w:trPr>
        <w:tc>
          <w:tcPr>
            <w:tcW w:w="1845" w:type="dxa"/>
            <w:tcBorders>
              <w:top w:val="nil"/>
              <w:left w:val="nil"/>
              <w:bottom w:val="single" w:sz="6" w:space="0" w:color="auto"/>
              <w:right w:val="nil"/>
            </w:tcBorders>
            <w:shd w:val="clear" w:color="auto" w:fill="auto"/>
            <w:vAlign w:val="bottom"/>
            <w:hideMark/>
          </w:tcPr>
          <w:p w14:paraId="1B2F8CE8"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WINDSOR </w:t>
            </w:r>
          </w:p>
        </w:tc>
        <w:tc>
          <w:tcPr>
            <w:tcW w:w="1845" w:type="dxa"/>
            <w:tcBorders>
              <w:top w:val="nil"/>
              <w:left w:val="nil"/>
              <w:bottom w:val="single" w:sz="6" w:space="0" w:color="auto"/>
              <w:right w:val="nil"/>
            </w:tcBorders>
            <w:shd w:val="clear" w:color="auto" w:fill="auto"/>
            <w:vAlign w:val="bottom"/>
            <w:hideMark/>
          </w:tcPr>
          <w:p w14:paraId="0A3D50EA"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129 </w:t>
            </w:r>
          </w:p>
        </w:tc>
        <w:tc>
          <w:tcPr>
            <w:tcW w:w="2070" w:type="dxa"/>
            <w:tcBorders>
              <w:top w:val="nil"/>
              <w:left w:val="nil"/>
              <w:bottom w:val="single" w:sz="6" w:space="0" w:color="auto"/>
              <w:right w:val="nil"/>
            </w:tcBorders>
            <w:shd w:val="clear" w:color="auto" w:fill="auto"/>
            <w:vAlign w:val="bottom"/>
            <w:hideMark/>
          </w:tcPr>
          <w:p w14:paraId="6D55D00F"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1072 </w:t>
            </w:r>
          </w:p>
        </w:tc>
        <w:tc>
          <w:tcPr>
            <w:tcW w:w="1620" w:type="dxa"/>
            <w:tcBorders>
              <w:top w:val="nil"/>
              <w:left w:val="nil"/>
              <w:bottom w:val="single" w:sz="6" w:space="0" w:color="auto"/>
              <w:right w:val="nil"/>
            </w:tcBorders>
            <w:shd w:val="clear" w:color="auto" w:fill="auto"/>
            <w:vAlign w:val="bottom"/>
            <w:hideMark/>
          </w:tcPr>
          <w:p w14:paraId="101BD25A"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0 </w:t>
            </w:r>
          </w:p>
        </w:tc>
        <w:tc>
          <w:tcPr>
            <w:tcW w:w="2160" w:type="dxa"/>
            <w:tcBorders>
              <w:top w:val="nil"/>
              <w:left w:val="nil"/>
              <w:bottom w:val="single" w:sz="6" w:space="0" w:color="auto"/>
              <w:right w:val="nil"/>
            </w:tcBorders>
            <w:shd w:val="clear" w:color="auto" w:fill="auto"/>
            <w:vAlign w:val="bottom"/>
            <w:hideMark/>
          </w:tcPr>
          <w:p w14:paraId="166186C3"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989 </w:t>
            </w:r>
          </w:p>
        </w:tc>
      </w:tr>
      <w:tr w:rsidR="00FE3FD5" w:rsidRPr="00FA62B6" w14:paraId="28F201D7" w14:textId="77777777" w:rsidTr="004E58AF">
        <w:trPr>
          <w:trHeight w:val="300"/>
        </w:trPr>
        <w:tc>
          <w:tcPr>
            <w:tcW w:w="1845" w:type="dxa"/>
            <w:tcBorders>
              <w:top w:val="single" w:sz="6" w:space="0" w:color="auto"/>
              <w:left w:val="nil"/>
              <w:bottom w:val="single" w:sz="4" w:space="0" w:color="auto"/>
              <w:right w:val="nil"/>
            </w:tcBorders>
            <w:shd w:val="clear" w:color="auto" w:fill="auto"/>
            <w:vAlign w:val="bottom"/>
            <w:hideMark/>
          </w:tcPr>
          <w:p w14:paraId="4099730D"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Total </w:t>
            </w:r>
          </w:p>
        </w:tc>
        <w:tc>
          <w:tcPr>
            <w:tcW w:w="1845" w:type="dxa"/>
            <w:tcBorders>
              <w:top w:val="single" w:sz="6" w:space="0" w:color="auto"/>
              <w:left w:val="nil"/>
              <w:bottom w:val="single" w:sz="4" w:space="0" w:color="auto"/>
              <w:right w:val="nil"/>
            </w:tcBorders>
            <w:shd w:val="clear" w:color="auto" w:fill="auto"/>
            <w:vAlign w:val="bottom"/>
            <w:hideMark/>
          </w:tcPr>
          <w:p w14:paraId="59DFA086"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1050 </w:t>
            </w:r>
          </w:p>
        </w:tc>
        <w:tc>
          <w:tcPr>
            <w:tcW w:w="2070" w:type="dxa"/>
            <w:tcBorders>
              <w:top w:val="single" w:sz="6" w:space="0" w:color="auto"/>
              <w:left w:val="nil"/>
              <w:bottom w:val="single" w:sz="4" w:space="0" w:color="auto"/>
              <w:right w:val="nil"/>
            </w:tcBorders>
            <w:shd w:val="clear" w:color="auto" w:fill="auto"/>
            <w:vAlign w:val="bottom"/>
            <w:hideMark/>
          </w:tcPr>
          <w:p w14:paraId="731E169C"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25563 </w:t>
            </w:r>
          </w:p>
        </w:tc>
        <w:tc>
          <w:tcPr>
            <w:tcW w:w="1620" w:type="dxa"/>
            <w:tcBorders>
              <w:top w:val="single" w:sz="6" w:space="0" w:color="auto"/>
              <w:left w:val="nil"/>
              <w:bottom w:val="single" w:sz="4" w:space="0" w:color="auto"/>
              <w:right w:val="nil"/>
            </w:tcBorders>
            <w:shd w:val="clear" w:color="auto" w:fill="auto"/>
            <w:vAlign w:val="bottom"/>
            <w:hideMark/>
          </w:tcPr>
          <w:p w14:paraId="64564805"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4421 </w:t>
            </w:r>
          </w:p>
        </w:tc>
        <w:tc>
          <w:tcPr>
            <w:tcW w:w="2160" w:type="dxa"/>
            <w:tcBorders>
              <w:top w:val="single" w:sz="6" w:space="0" w:color="auto"/>
              <w:left w:val="nil"/>
              <w:bottom w:val="single" w:sz="4" w:space="0" w:color="auto"/>
              <w:right w:val="nil"/>
            </w:tcBorders>
            <w:shd w:val="clear" w:color="auto" w:fill="auto"/>
            <w:vAlign w:val="bottom"/>
            <w:hideMark/>
          </w:tcPr>
          <w:p w14:paraId="5D15D0A4" w14:textId="77777777" w:rsidR="00FE3FD5" w:rsidRPr="00FA62B6" w:rsidRDefault="00FE3FD5" w:rsidP="004E58AF">
            <w:pPr>
              <w:spacing w:after="0" w:line="240" w:lineRule="auto"/>
              <w:textAlignment w:val="baseline"/>
              <w:rPr>
                <w:rFonts w:ascii="Segoe UI" w:eastAsia="Times New Roman" w:hAnsi="Segoe UI" w:cs="Segoe UI"/>
                <w:sz w:val="18"/>
                <w:szCs w:val="18"/>
              </w:rPr>
            </w:pPr>
            <w:r w:rsidRPr="00FA62B6">
              <w:rPr>
                <w:rFonts w:ascii="Calibri" w:eastAsia="Times New Roman" w:hAnsi="Calibri" w:cs="Calibri"/>
                <w:color w:val="000000"/>
              </w:rPr>
              <w:t>2905 </w:t>
            </w:r>
          </w:p>
        </w:tc>
      </w:tr>
    </w:tbl>
    <w:p w14:paraId="6E223E8A" w14:textId="77777777" w:rsidR="001C2127" w:rsidRDefault="001C2127" w:rsidP="5658DD38">
      <w:pPr>
        <w:pStyle w:val="paragraph"/>
        <w:spacing w:before="0" w:beforeAutospacing="0" w:after="0" w:afterAutospacing="0"/>
        <w:rPr>
          <w:rStyle w:val="normaltextrun"/>
          <w:rFonts w:asciiTheme="minorHAnsi" w:hAnsiTheme="minorHAnsi" w:cstheme="minorBidi"/>
          <w:sz w:val="22"/>
          <w:szCs w:val="22"/>
        </w:rPr>
      </w:pPr>
    </w:p>
    <w:p w14:paraId="0BB2012A" w14:textId="66384194" w:rsidR="001E1387" w:rsidRPr="00C03CED" w:rsidRDefault="001E1387" w:rsidP="00C03CED">
      <w:pPr>
        <w:pStyle w:val="paragraph"/>
        <w:spacing w:before="0" w:beforeAutospacing="0" w:after="0" w:afterAutospacing="0"/>
        <w:textAlignment w:val="baseline"/>
        <w:rPr>
          <w:rFonts w:asciiTheme="minorHAnsi" w:hAnsiTheme="minorHAnsi" w:cstheme="minorHAnsi"/>
          <w:sz w:val="22"/>
          <w:szCs w:val="22"/>
        </w:rPr>
      </w:pPr>
    </w:p>
    <w:p w14:paraId="6F11A101" w14:textId="0282CE7F" w:rsidR="00C03CED" w:rsidRPr="00C03CED" w:rsidRDefault="3FD6797C" w:rsidP="014E765A">
      <w:pPr>
        <w:pStyle w:val="paragraph"/>
        <w:spacing w:before="0" w:beforeAutospacing="0" w:after="0" w:afterAutospacing="0"/>
        <w:textAlignment w:val="baseline"/>
        <w:rPr>
          <w:rFonts w:asciiTheme="minorHAnsi" w:hAnsiTheme="minorHAnsi" w:cstheme="minorBidi"/>
          <w:sz w:val="22"/>
          <w:szCs w:val="22"/>
        </w:rPr>
      </w:pPr>
      <w:r w:rsidRPr="0002DDED">
        <w:rPr>
          <w:rStyle w:val="normaltextrun"/>
          <w:rFonts w:asciiTheme="minorHAnsi" w:hAnsiTheme="minorHAnsi" w:cstheme="minorBidi"/>
          <w:sz w:val="22"/>
          <w:szCs w:val="22"/>
        </w:rPr>
        <w:t xml:space="preserve">To track population outbreaks, pheromone traps for SP were deployed statewide in late spring. The number of moths per trap averaged 3.26, evidence that populations are increasing in Vermont compared to </w:t>
      </w:r>
      <w:r w:rsidR="78E8252C" w:rsidRPr="0002DDED">
        <w:rPr>
          <w:rStyle w:val="normaltextrun"/>
          <w:rFonts w:asciiTheme="minorHAnsi" w:hAnsiTheme="minorHAnsi" w:cstheme="minorBidi"/>
          <w:sz w:val="22"/>
          <w:szCs w:val="22"/>
        </w:rPr>
        <w:t>2</w:t>
      </w:r>
      <w:r w:rsidR="486E20C8" w:rsidRPr="0002DDED">
        <w:rPr>
          <w:rStyle w:val="normaltextrun"/>
          <w:rFonts w:asciiTheme="minorHAnsi" w:hAnsiTheme="minorHAnsi" w:cstheme="minorBidi"/>
          <w:sz w:val="22"/>
          <w:szCs w:val="22"/>
        </w:rPr>
        <w:t>.20</w:t>
      </w:r>
      <w:r w:rsidR="78E8252C" w:rsidRPr="0002DDED">
        <w:rPr>
          <w:rStyle w:val="normaltextrun"/>
          <w:rFonts w:asciiTheme="minorHAnsi" w:hAnsiTheme="minorHAnsi" w:cstheme="minorBidi"/>
          <w:sz w:val="22"/>
          <w:szCs w:val="22"/>
        </w:rPr>
        <w:t xml:space="preserve"> moths per trap in </w:t>
      </w:r>
      <w:proofErr w:type="gramStart"/>
      <w:r w:rsidR="78E8252C" w:rsidRPr="0002DDED">
        <w:rPr>
          <w:rStyle w:val="normaltextrun"/>
          <w:rFonts w:asciiTheme="minorHAnsi" w:hAnsiTheme="minorHAnsi" w:cstheme="minorBidi"/>
          <w:sz w:val="22"/>
          <w:szCs w:val="22"/>
        </w:rPr>
        <w:t>2018</w:t>
      </w:r>
      <w:r w:rsidR="00263DE8">
        <w:rPr>
          <w:rStyle w:val="normaltextrun"/>
          <w:rFonts w:asciiTheme="minorHAnsi" w:hAnsiTheme="minorHAnsi" w:cstheme="minorBidi"/>
          <w:sz w:val="22"/>
          <w:szCs w:val="22"/>
        </w:rPr>
        <w:t xml:space="preserve">  (</w:t>
      </w:r>
      <w:proofErr w:type="gramEnd"/>
      <w:r w:rsidR="00263DE8">
        <w:rPr>
          <w:rStyle w:val="normaltextrun"/>
          <w:rFonts w:asciiTheme="minorHAnsi" w:hAnsiTheme="minorHAnsi" w:cstheme="minorBidi"/>
          <w:sz w:val="22"/>
          <w:szCs w:val="22"/>
        </w:rPr>
        <w:t>Figure 10)</w:t>
      </w:r>
      <w:r w:rsidR="78E8252C" w:rsidRPr="0002DDED">
        <w:rPr>
          <w:rStyle w:val="normaltextrun"/>
          <w:rFonts w:asciiTheme="minorHAnsi" w:hAnsiTheme="minorHAnsi" w:cstheme="minorBidi"/>
          <w:sz w:val="22"/>
          <w:szCs w:val="22"/>
        </w:rPr>
        <w:t>.</w:t>
      </w:r>
      <w:r w:rsidRPr="0002DDED">
        <w:rPr>
          <w:rStyle w:val="normaltextrun"/>
          <w:rFonts w:asciiTheme="minorHAnsi" w:hAnsiTheme="minorHAnsi" w:cstheme="minorBidi"/>
          <w:sz w:val="22"/>
          <w:szCs w:val="22"/>
        </w:rPr>
        <w:t> We do anticipate increased populations of SP in 2022, however current population levels are not predictive of severe defoliation in 2022.</w:t>
      </w:r>
      <w:r w:rsidRPr="0002DDED">
        <w:rPr>
          <w:rStyle w:val="eop"/>
          <w:rFonts w:asciiTheme="minorHAnsi" w:hAnsiTheme="minorHAnsi" w:cstheme="minorBidi"/>
          <w:sz w:val="22"/>
          <w:szCs w:val="22"/>
        </w:rPr>
        <w:t> </w:t>
      </w:r>
    </w:p>
    <w:p w14:paraId="5B9C1903" w14:textId="183E0F6C" w:rsidR="00A95CCB" w:rsidRDefault="00AD085F" w:rsidP="00ED6144">
      <w:pPr>
        <w:pStyle w:val="Heading3"/>
        <w:rPr>
          <w:rStyle w:val="normaltextrun"/>
        </w:rPr>
      </w:pPr>
      <w:r>
        <w:rPr>
          <w:noProof/>
        </w:rPr>
        <w:drawing>
          <wp:anchor distT="0" distB="0" distL="114300" distR="114300" simplePos="0" relativeHeight="251670016" behindDoc="0" locked="0" layoutInCell="1" allowOverlap="1" wp14:anchorId="43C18365" wp14:editId="1C2A7020">
            <wp:simplePos x="0" y="0"/>
            <wp:positionH relativeFrom="column">
              <wp:posOffset>590061</wp:posOffset>
            </wp:positionH>
            <wp:positionV relativeFrom="page">
              <wp:posOffset>2319313</wp:posOffset>
            </wp:positionV>
            <wp:extent cx="4440088" cy="2578608"/>
            <wp:effectExtent l="0" t="0" r="0" b="0"/>
            <wp:wrapTopAndBottom/>
            <wp:docPr id="10" name="Picture 10" descr="Graph of average saddled prominent moths captured from 2014-2021.  Average moth catch in 2021 was the highest since 2014, but averaged less than 4 moths per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of average saddled prominent moths captured from 2014-2021.  Average moth catch in 2021 was the highest since 2014, but averaged less than 4 moths per tra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0088" cy="2578608"/>
                    </a:xfrm>
                    <a:prstGeom prst="rect">
                      <a:avLst/>
                    </a:prstGeom>
                    <a:noFill/>
                    <a:ln>
                      <a:noFill/>
                    </a:ln>
                  </pic:spPr>
                </pic:pic>
              </a:graphicData>
            </a:graphic>
            <wp14:sizeRelV relativeFrom="margin">
              <wp14:pctHeight>0</wp14:pctHeight>
            </wp14:sizeRelV>
          </wp:anchor>
        </w:drawing>
      </w:r>
    </w:p>
    <w:p w14:paraId="02070895" w14:textId="77777777" w:rsidR="00263DE8" w:rsidRDefault="00263DE8" w:rsidP="00263DE8">
      <w:pPr>
        <w:rPr>
          <w:rStyle w:val="normaltextrun"/>
          <w:rFonts w:ascii="Calibri" w:hAnsi="Calibri" w:cs="Calibri"/>
          <w:color w:val="000000"/>
          <w:shd w:val="clear" w:color="auto" w:fill="FFFFFF"/>
        </w:rPr>
      </w:pPr>
      <w:r>
        <w:rPr>
          <w:rStyle w:val="normaltextrun"/>
          <w:rFonts w:ascii="Calibri" w:hAnsi="Calibri" w:cs="Calibri"/>
          <w:b/>
          <w:bCs/>
          <w:color w:val="000000"/>
          <w:shd w:val="clear" w:color="auto" w:fill="FFFFFF"/>
        </w:rPr>
        <w:t>Figure 10.</w:t>
      </w:r>
      <w:r>
        <w:rPr>
          <w:rStyle w:val="normaltextrun"/>
          <w:rFonts w:ascii="Calibri" w:hAnsi="Calibri" w:cs="Calibri"/>
          <w:color w:val="000000"/>
          <w:shd w:val="clear" w:color="auto" w:fill="FFFFFF"/>
        </w:rPr>
        <w:t>  Average number of saddled prominent (SP) moths captured per trap from 2014-2021.  Note that no trapping was conducted in 2019 or 2020.</w:t>
      </w:r>
      <w:r>
        <w:rPr>
          <w:rStyle w:val="eop"/>
          <w:rFonts w:ascii="Calibri" w:hAnsi="Calibri" w:cs="Calibri"/>
          <w:color w:val="000000"/>
          <w:shd w:val="clear" w:color="auto" w:fill="FFFFFF"/>
        </w:rPr>
        <w:t> </w:t>
      </w:r>
      <w:r>
        <w:rPr>
          <w:rStyle w:val="normaltextrun"/>
          <w:rFonts w:ascii="Calibri" w:hAnsi="Calibri" w:cs="Calibri"/>
          <w:color w:val="000000"/>
          <w:shd w:val="clear" w:color="auto" w:fill="FFFFFF"/>
        </w:rPr>
        <w:t>Three multi-</w:t>
      </w:r>
      <w:proofErr w:type="spellStart"/>
      <w:r>
        <w:rPr>
          <w:rStyle w:val="spellingerror"/>
          <w:rFonts w:ascii="Calibri" w:hAnsi="Calibri" w:cs="Calibri"/>
          <w:color w:val="000000"/>
          <w:shd w:val="clear" w:color="auto" w:fill="FFFFFF"/>
        </w:rPr>
        <w:t>pher</w:t>
      </w:r>
      <w:proofErr w:type="spellEnd"/>
      <w:r>
        <w:rPr>
          <w:rStyle w:val="normaltextrun"/>
          <w:rFonts w:ascii="Calibri" w:hAnsi="Calibri" w:cs="Calibri"/>
          <w:color w:val="000000"/>
          <w:shd w:val="clear" w:color="auto" w:fill="FFFFFF"/>
        </w:rPr>
        <w:t> pheromone traps per site, with </w:t>
      </w:r>
      <w:proofErr w:type="spellStart"/>
      <w:r>
        <w:rPr>
          <w:rStyle w:val="spellingerror"/>
          <w:rFonts w:ascii="Calibri" w:hAnsi="Calibri" w:cs="Calibri"/>
          <w:color w:val="000000"/>
          <w:shd w:val="clear" w:color="auto" w:fill="FFFFFF"/>
        </w:rPr>
        <w:t>aPhinity</w:t>
      </w:r>
      <w:proofErr w:type="spellEnd"/>
      <w:r>
        <w:rPr>
          <w:rStyle w:val="normaltextrun"/>
          <w:rFonts w:ascii="Calibri" w:hAnsi="Calibri" w:cs="Calibri"/>
          <w:color w:val="000000"/>
          <w:shd w:val="clear" w:color="auto" w:fill="FFFFFF"/>
        </w:rPr>
        <w:t> SP lures, were used in 2021.</w:t>
      </w:r>
    </w:p>
    <w:p w14:paraId="01C81623" w14:textId="77777777" w:rsidR="00263DE8" w:rsidRDefault="00263DE8" w:rsidP="00ED6144">
      <w:pPr>
        <w:pStyle w:val="Heading3"/>
        <w:rPr>
          <w:rStyle w:val="normaltextrun"/>
        </w:rPr>
      </w:pPr>
    </w:p>
    <w:p w14:paraId="3119C08D" w14:textId="1483079F" w:rsidR="00ED6144" w:rsidRPr="00ED6144" w:rsidRDefault="00ED6144" w:rsidP="00ED6144">
      <w:pPr>
        <w:pStyle w:val="Heading3"/>
        <w:rPr>
          <w:rStyle w:val="normaltextrun"/>
        </w:rPr>
      </w:pPr>
      <w:r w:rsidRPr="00ED6144">
        <w:rPr>
          <w:rStyle w:val="normaltextrun"/>
        </w:rPr>
        <w:t>Maple Anthracnose </w:t>
      </w:r>
    </w:p>
    <w:p w14:paraId="478C4650" w14:textId="47BF7C0C" w:rsidR="414B1131" w:rsidRPr="000869B9" w:rsidRDefault="00C03CED" w:rsidP="00ED6144">
      <w:pPr>
        <w:rPr>
          <w:rStyle w:val="normaltextrun"/>
        </w:rPr>
      </w:pPr>
      <w:r w:rsidRPr="00ED6144">
        <w:rPr>
          <w:rStyle w:val="normaltextrun"/>
          <w:color w:val="000000"/>
          <w:shd w:val="clear" w:color="auto" w:fill="FFFFFF"/>
        </w:rPr>
        <w:t>Maple Anthracnose</w:t>
      </w:r>
      <w:r w:rsidRPr="12E2B521">
        <w:rPr>
          <w:rStyle w:val="normaltextrun"/>
          <w:color w:val="000000"/>
          <w:shd w:val="clear" w:color="auto" w:fill="FFFFFF"/>
        </w:rPr>
        <w:t> (causal agents </w:t>
      </w:r>
      <w:proofErr w:type="spellStart"/>
      <w:r w:rsidRPr="414B1131">
        <w:rPr>
          <w:rStyle w:val="spellingerror"/>
          <w:i/>
          <w:iCs/>
          <w:color w:val="000000"/>
          <w:shd w:val="clear" w:color="auto" w:fill="FFFFFF"/>
        </w:rPr>
        <w:t>Aureobasidium</w:t>
      </w:r>
      <w:proofErr w:type="spellEnd"/>
      <w:r w:rsidRPr="414B1131">
        <w:rPr>
          <w:rStyle w:val="normaltextrun"/>
          <w:i/>
          <w:iCs/>
          <w:color w:val="000000"/>
          <w:shd w:val="clear" w:color="auto" w:fill="FFFFFF"/>
        </w:rPr>
        <w:t> </w:t>
      </w:r>
      <w:proofErr w:type="spellStart"/>
      <w:r w:rsidRPr="414B1131">
        <w:rPr>
          <w:rStyle w:val="spellingerror"/>
          <w:i/>
          <w:iCs/>
          <w:color w:val="000000"/>
          <w:shd w:val="clear" w:color="auto" w:fill="FFFFFF"/>
        </w:rPr>
        <w:t>apocryptum</w:t>
      </w:r>
      <w:proofErr w:type="spellEnd"/>
      <w:r w:rsidRPr="414B1131">
        <w:rPr>
          <w:rStyle w:val="normaltextrun"/>
          <w:i/>
          <w:iCs/>
          <w:color w:val="000000"/>
          <w:shd w:val="clear" w:color="auto" w:fill="FFFFFF"/>
        </w:rPr>
        <w:t>, </w:t>
      </w:r>
      <w:proofErr w:type="spellStart"/>
      <w:r w:rsidRPr="414B1131">
        <w:rPr>
          <w:rStyle w:val="normaltextrun"/>
          <w:i/>
          <w:iCs/>
          <w:color w:val="000000"/>
          <w:shd w:val="clear" w:color="auto" w:fill="FFFFFF"/>
        </w:rPr>
        <w:t>Discula</w:t>
      </w:r>
      <w:proofErr w:type="spellEnd"/>
      <w:r w:rsidRPr="414B1131">
        <w:rPr>
          <w:rStyle w:val="normaltextrun"/>
          <w:i/>
          <w:iCs/>
          <w:color w:val="000000"/>
          <w:shd w:val="clear" w:color="auto" w:fill="FFFFFF"/>
        </w:rPr>
        <w:t xml:space="preserve"> </w:t>
      </w:r>
      <w:r w:rsidR="00ED6144">
        <w:rPr>
          <w:rStyle w:val="normaltextrun"/>
          <w:i/>
          <w:iCs/>
          <w:color w:val="000000"/>
          <w:shd w:val="clear" w:color="auto" w:fill="FFFFFF"/>
        </w:rPr>
        <w:t xml:space="preserve">campestris, and Colletotrichum </w:t>
      </w:r>
      <w:proofErr w:type="spellStart"/>
      <w:r w:rsidRPr="414B1131">
        <w:rPr>
          <w:rStyle w:val="spellingerror"/>
          <w:i/>
          <w:iCs/>
          <w:color w:val="000000"/>
          <w:shd w:val="clear" w:color="auto" w:fill="FFFFFF"/>
        </w:rPr>
        <w:t>gleosporoides</w:t>
      </w:r>
      <w:proofErr w:type="spellEnd"/>
      <w:r w:rsidRPr="12E2B521">
        <w:rPr>
          <w:rStyle w:val="normaltextrun"/>
          <w:color w:val="505050"/>
          <w:shd w:val="clear" w:color="auto" w:fill="FFFFFF"/>
        </w:rPr>
        <w:t>)</w:t>
      </w:r>
      <w:r w:rsidRPr="12E2B521">
        <w:rPr>
          <w:rStyle w:val="normaltextrun"/>
          <w:color w:val="000000"/>
          <w:shd w:val="clear" w:color="auto" w:fill="FFFFFF"/>
        </w:rPr>
        <w:t> reports increased throughout the growing season due to persistent late-season rainfall. Reports came from Addison, Caledonia, Franklin, Rutland, Washington, and </w:t>
      </w:r>
      <w:r w:rsidRPr="12E2B521">
        <w:rPr>
          <w:rStyle w:val="contextualspellingandgrammarerror"/>
          <w:color w:val="000000"/>
          <w:shd w:val="clear" w:color="auto" w:fill="FFFFFF"/>
        </w:rPr>
        <w:t>Windsor count</w:t>
      </w:r>
      <w:r w:rsidR="110FB958" w:rsidRPr="12E2B521">
        <w:rPr>
          <w:rStyle w:val="contextualspellingandgrammarerror"/>
          <w:color w:val="000000"/>
          <w:shd w:val="clear" w:color="auto" w:fill="FFFFFF"/>
        </w:rPr>
        <w:t>ies</w:t>
      </w:r>
      <w:r w:rsidR="110FB958" w:rsidRPr="12E2B521">
        <w:rPr>
          <w:rStyle w:val="normaltextrun"/>
          <w:color w:val="000000"/>
          <w:shd w:val="clear" w:color="auto" w:fill="FFFFFF"/>
        </w:rPr>
        <w:t xml:space="preserve">.  Although present throughout most of the state, aerial detection surveys did not detect </w:t>
      </w:r>
      <w:r w:rsidR="559702CB" w:rsidRPr="12E2B521">
        <w:rPr>
          <w:rStyle w:val="normaltextrun"/>
          <w:color w:val="000000"/>
          <w:shd w:val="clear" w:color="auto" w:fill="FFFFFF"/>
        </w:rPr>
        <w:t>damage in all counties.  This is most likely due to the timing and prevalence of MLC on the landscape, which may have masked symptoms otherwise visible from the air</w:t>
      </w:r>
      <w:r w:rsidRPr="12E2B521">
        <w:rPr>
          <w:rStyle w:val="normaltextrun"/>
          <w:color w:val="000000"/>
          <w:shd w:val="clear" w:color="auto" w:fill="FFFFFF"/>
        </w:rPr>
        <w:t>. </w:t>
      </w:r>
    </w:p>
    <w:p w14:paraId="1162584C" w14:textId="5705DAE0" w:rsidR="00EE59ED" w:rsidRDefault="00EE59ED" w:rsidP="00ED6144">
      <w:pPr>
        <w:pStyle w:val="Heading2"/>
      </w:pPr>
      <w:r w:rsidRPr="29A70AAA">
        <w:t>Oak Wilt</w:t>
      </w:r>
    </w:p>
    <w:p w14:paraId="16AA9AE5" w14:textId="684F7E30" w:rsidR="00C03CED" w:rsidRDefault="3FD6797C" w:rsidP="00ED6144">
      <w:r>
        <w:rPr>
          <w:rStyle w:val="normaltextrun"/>
          <w:rFonts w:ascii="Calibri" w:hAnsi="Calibri" w:cs="Calibri"/>
          <w:color w:val="000000"/>
          <w:shd w:val="clear" w:color="auto" w:fill="FFFFFF"/>
        </w:rPr>
        <w:t>Oak Wilt, caused by the fungal pathogen </w:t>
      </w:r>
      <w:proofErr w:type="spellStart"/>
      <w:r w:rsidRPr="7E573C72">
        <w:rPr>
          <w:rStyle w:val="spellingerror"/>
          <w:rFonts w:ascii="Calibri" w:hAnsi="Calibri" w:cs="Calibri"/>
          <w:i/>
          <w:iCs/>
          <w:color w:val="000000"/>
          <w:shd w:val="clear" w:color="auto" w:fill="FFFFFF"/>
        </w:rPr>
        <w:t>Bretziella</w:t>
      </w:r>
      <w:proofErr w:type="spellEnd"/>
      <w:r>
        <w:rPr>
          <w:rStyle w:val="normaltextrun"/>
          <w:rFonts w:ascii="Calibri" w:hAnsi="Calibri" w:cs="Calibri"/>
          <w:color w:val="000000"/>
          <w:shd w:val="clear" w:color="auto" w:fill="FFFFFF"/>
        </w:rPr>
        <w:t> </w:t>
      </w:r>
      <w:proofErr w:type="spellStart"/>
      <w:r w:rsidRPr="7E573C72">
        <w:rPr>
          <w:rStyle w:val="spellingerror"/>
          <w:rFonts w:ascii="Calibri" w:hAnsi="Calibri" w:cs="Calibri"/>
          <w:i/>
          <w:iCs/>
          <w:color w:val="000000"/>
          <w:shd w:val="clear" w:color="auto" w:fill="FFFFFF"/>
        </w:rPr>
        <w:t>fagacearum</w:t>
      </w:r>
      <w:proofErr w:type="spellEnd"/>
      <w:r>
        <w:rPr>
          <w:rStyle w:val="normaltextrun"/>
          <w:rFonts w:ascii="Calibri" w:hAnsi="Calibri" w:cs="Calibri"/>
          <w:color w:val="000000"/>
          <w:shd w:val="clear" w:color="auto" w:fill="FFFFFF"/>
        </w:rPr>
        <w:t>, is not known to occur in Vermont. Due to recent detections in New York State, Vermont and nearby states are participating in a regional effort to monitor for this pathogen. </w:t>
      </w:r>
      <w:r w:rsidRPr="59D67DFE">
        <w:rPr>
          <w:rStyle w:val="normaltextrun"/>
          <w:rFonts w:ascii="Calibri" w:hAnsi="Calibri" w:cs="Calibri"/>
          <w:shd w:val="clear" w:color="auto" w:fill="FFFFFF"/>
        </w:rPr>
        <w:t>In Vermont, the primary detection method is outreach, with an estimated 3,300 contacts through newsletters and social media and 420 contacts through workshops in 202</w:t>
      </w:r>
      <w:r w:rsidR="0B59DA85" w:rsidRPr="59D67DFE">
        <w:rPr>
          <w:rStyle w:val="normaltextrun"/>
          <w:rFonts w:ascii="Calibri" w:hAnsi="Calibri" w:cs="Calibri"/>
          <w:shd w:val="clear" w:color="auto" w:fill="FFFFFF"/>
        </w:rPr>
        <w:t>1</w:t>
      </w:r>
      <w:r>
        <w:rPr>
          <w:rStyle w:val="normaltextrun"/>
          <w:rFonts w:ascii="Calibri" w:hAnsi="Calibri" w:cs="Calibri"/>
          <w:color w:val="000000"/>
          <w:shd w:val="clear" w:color="auto" w:fill="FFFFFF"/>
        </w:rPr>
        <w:t>. As a result of this effort, </w:t>
      </w:r>
      <w:r w:rsidR="0A6CA2C2">
        <w:rPr>
          <w:rStyle w:val="normaltextrun"/>
          <w:rFonts w:ascii="Calibri" w:hAnsi="Calibri" w:cs="Calibri"/>
          <w:color w:val="000000"/>
          <w:shd w:val="clear" w:color="auto" w:fill="FFFFFF"/>
        </w:rPr>
        <w:t xml:space="preserve">four </w:t>
      </w:r>
      <w:r>
        <w:rPr>
          <w:rStyle w:val="normaltextrun"/>
          <w:rFonts w:ascii="Calibri" w:hAnsi="Calibri" w:cs="Calibri"/>
          <w:color w:val="000000"/>
          <w:shd w:val="clear" w:color="auto" w:fill="FFFFFF"/>
        </w:rPr>
        <w:t>oak wilt suspects were reported in 2021, however, symptoms were not consistent with oak wilt</w:t>
      </w:r>
      <w:r w:rsidR="36A7EBC7">
        <w:rPr>
          <w:rStyle w:val="normaltextrun"/>
          <w:rFonts w:ascii="Calibri" w:hAnsi="Calibri" w:cs="Calibri"/>
          <w:color w:val="000000"/>
          <w:shd w:val="clear" w:color="auto" w:fill="FFFFFF"/>
        </w:rPr>
        <w:t xml:space="preserve"> and no samples were </w:t>
      </w:r>
      <w:r>
        <w:rPr>
          <w:rStyle w:val="normaltextrun"/>
          <w:rFonts w:ascii="Calibri" w:hAnsi="Calibri" w:cs="Calibri"/>
          <w:color w:val="000000"/>
          <w:shd w:val="clear" w:color="auto" w:fill="FFFFFF"/>
        </w:rPr>
        <w:t>sent for lab testing. </w:t>
      </w:r>
      <w:r>
        <w:rPr>
          <w:rStyle w:val="eop"/>
          <w:rFonts w:ascii="Calibri" w:hAnsi="Calibri" w:cs="Calibri"/>
          <w:color w:val="000000"/>
          <w:shd w:val="clear" w:color="auto" w:fill="FFFFFF"/>
        </w:rPr>
        <w:t> </w:t>
      </w:r>
    </w:p>
    <w:p w14:paraId="291A7461" w14:textId="4EAC5CBE" w:rsidR="00EE59ED" w:rsidRDefault="00EE59ED" w:rsidP="00ED6144">
      <w:pPr>
        <w:pStyle w:val="Heading2"/>
      </w:pPr>
      <w:r w:rsidRPr="29A70AAA">
        <w:lastRenderedPageBreak/>
        <w:t>Red Pine Health</w:t>
      </w:r>
    </w:p>
    <w:p w14:paraId="175BC49B" w14:textId="77777777" w:rsidR="00494164" w:rsidRDefault="00494164" w:rsidP="00ED6144">
      <w:r w:rsidRPr="0ECCBD25">
        <w:rPr>
          <w:rStyle w:val="normaltextrun"/>
          <w:rFonts w:eastAsiaTheme="minorEastAsia"/>
        </w:rPr>
        <w:t>Red pine (</w:t>
      </w:r>
      <w:r w:rsidRPr="0ECCBD25">
        <w:rPr>
          <w:rStyle w:val="normaltextrun"/>
          <w:rFonts w:eastAsiaTheme="minorEastAsia"/>
          <w:i/>
          <w:iCs/>
        </w:rPr>
        <w:t>Pinus </w:t>
      </w:r>
      <w:proofErr w:type="spellStart"/>
      <w:r w:rsidRPr="0ECCBD25">
        <w:rPr>
          <w:rStyle w:val="spellingerror"/>
          <w:rFonts w:eastAsiaTheme="minorEastAsia"/>
          <w:i/>
          <w:iCs/>
        </w:rPr>
        <w:t>resinosa</w:t>
      </w:r>
      <w:proofErr w:type="spellEnd"/>
      <w:r w:rsidRPr="0ECCBD25">
        <w:rPr>
          <w:rStyle w:val="normaltextrun"/>
          <w:rFonts w:eastAsiaTheme="minorEastAsia"/>
        </w:rPr>
        <w:t>) has been in a state of undetermined decline across Vermont over the last decade. Starting in 2010, pests and pathogens observed in declining red pine stands included pine engravers (</w:t>
      </w:r>
      <w:r w:rsidRPr="0ECCBD25">
        <w:rPr>
          <w:rStyle w:val="normaltextrun"/>
          <w:rFonts w:eastAsiaTheme="minorEastAsia"/>
          <w:i/>
          <w:iCs/>
        </w:rPr>
        <w:t>Ips </w:t>
      </w:r>
      <w:proofErr w:type="spellStart"/>
      <w:r w:rsidRPr="0ECCBD25">
        <w:rPr>
          <w:rStyle w:val="spellingerror"/>
          <w:rFonts w:eastAsiaTheme="minorEastAsia"/>
          <w:i/>
          <w:iCs/>
        </w:rPr>
        <w:t>pini</w:t>
      </w:r>
      <w:proofErr w:type="spellEnd"/>
      <w:r w:rsidRPr="0ECCBD25">
        <w:rPr>
          <w:rStyle w:val="normaltextrun"/>
          <w:rFonts w:eastAsiaTheme="minorEastAsia"/>
        </w:rPr>
        <w:t>), pine gall weevils (</w:t>
      </w:r>
      <w:proofErr w:type="spellStart"/>
      <w:r w:rsidRPr="0ECCBD25">
        <w:rPr>
          <w:rStyle w:val="normaltextrun"/>
          <w:rFonts w:eastAsiaTheme="minorEastAsia"/>
          <w:i/>
          <w:iCs/>
        </w:rPr>
        <w:t>Podapion</w:t>
      </w:r>
      <w:proofErr w:type="spellEnd"/>
      <w:r w:rsidRPr="0ECCBD25">
        <w:rPr>
          <w:rStyle w:val="normaltextrun"/>
          <w:rFonts w:eastAsiaTheme="minorEastAsia"/>
          <w:i/>
          <w:iCs/>
        </w:rPr>
        <w:t xml:space="preserve"> </w:t>
      </w:r>
      <w:proofErr w:type="spellStart"/>
      <w:r w:rsidRPr="0ECCBD25">
        <w:rPr>
          <w:rStyle w:val="normaltextrun"/>
          <w:rFonts w:eastAsiaTheme="minorEastAsia"/>
          <w:i/>
          <w:iCs/>
        </w:rPr>
        <w:t>gallicola</w:t>
      </w:r>
      <w:proofErr w:type="spellEnd"/>
      <w:r w:rsidRPr="0ECCBD25">
        <w:rPr>
          <w:rStyle w:val="normaltextrun"/>
          <w:rFonts w:eastAsiaTheme="minorEastAsia"/>
        </w:rPr>
        <w:t>), parasitic </w:t>
      </w:r>
      <w:proofErr w:type="spellStart"/>
      <w:r w:rsidRPr="0ECCBD25">
        <w:rPr>
          <w:rStyle w:val="spellingerror"/>
          <w:rFonts w:eastAsiaTheme="minorEastAsia"/>
        </w:rPr>
        <w:t>woodwasps</w:t>
      </w:r>
      <w:proofErr w:type="spellEnd"/>
      <w:r w:rsidRPr="0ECCBD25">
        <w:rPr>
          <w:rStyle w:val="normaltextrun"/>
          <w:rFonts w:eastAsiaTheme="minorEastAsia"/>
        </w:rPr>
        <w:t> (family </w:t>
      </w:r>
      <w:proofErr w:type="spellStart"/>
      <w:r w:rsidRPr="0ECCBD25">
        <w:rPr>
          <w:rStyle w:val="spellingerror"/>
          <w:rFonts w:eastAsiaTheme="minorEastAsia"/>
          <w:i/>
          <w:iCs/>
        </w:rPr>
        <w:t>Orussidae</w:t>
      </w:r>
      <w:proofErr w:type="spellEnd"/>
      <w:r w:rsidRPr="0ECCBD25">
        <w:rPr>
          <w:rStyle w:val="normaltextrun"/>
          <w:rFonts w:eastAsiaTheme="minorEastAsia"/>
        </w:rPr>
        <w:t>), armillaria root rot (</w:t>
      </w:r>
      <w:r w:rsidRPr="0ECCBD25">
        <w:rPr>
          <w:rStyle w:val="normaltextrun"/>
          <w:rFonts w:eastAsiaTheme="minorEastAsia"/>
          <w:i/>
          <w:iCs/>
        </w:rPr>
        <w:t>Armillaria </w:t>
      </w:r>
      <w:r w:rsidRPr="0ECCBD25">
        <w:rPr>
          <w:rStyle w:val="normaltextrun"/>
          <w:rFonts w:eastAsiaTheme="minorEastAsia"/>
        </w:rPr>
        <w:t xml:space="preserve">spp.), </w:t>
      </w:r>
      <w:proofErr w:type="spellStart"/>
      <w:r w:rsidRPr="0ECCBD25">
        <w:rPr>
          <w:rStyle w:val="normaltextrun"/>
          <w:rFonts w:eastAsiaTheme="minorEastAsia"/>
        </w:rPr>
        <w:t>diplodia</w:t>
      </w:r>
      <w:proofErr w:type="spellEnd"/>
      <w:r w:rsidRPr="0ECCBD25">
        <w:rPr>
          <w:rStyle w:val="normaltextrun"/>
          <w:rFonts w:eastAsiaTheme="minorEastAsia"/>
        </w:rPr>
        <w:t xml:space="preserve"> shoot blight (</w:t>
      </w:r>
      <w:proofErr w:type="spellStart"/>
      <w:r w:rsidRPr="0ECCBD25">
        <w:rPr>
          <w:rStyle w:val="normaltextrun"/>
          <w:rFonts w:eastAsiaTheme="minorEastAsia"/>
          <w:i/>
          <w:iCs/>
        </w:rPr>
        <w:t>Diplodia</w:t>
      </w:r>
      <w:proofErr w:type="spellEnd"/>
      <w:r w:rsidRPr="0ECCBD25">
        <w:rPr>
          <w:rStyle w:val="normaltextrun"/>
          <w:rFonts w:eastAsiaTheme="minorEastAsia"/>
          <w:i/>
          <w:iCs/>
        </w:rPr>
        <w:t xml:space="preserve"> </w:t>
      </w:r>
      <w:proofErr w:type="spellStart"/>
      <w:r w:rsidRPr="0ECCBD25">
        <w:rPr>
          <w:rStyle w:val="normaltextrun"/>
          <w:rFonts w:eastAsiaTheme="minorEastAsia"/>
          <w:i/>
          <w:iCs/>
        </w:rPr>
        <w:t>sapinea</w:t>
      </w:r>
      <w:proofErr w:type="spellEnd"/>
      <w:r w:rsidRPr="0ECCBD25">
        <w:rPr>
          <w:rStyle w:val="normaltextrun"/>
          <w:rFonts w:eastAsiaTheme="minorEastAsia"/>
        </w:rPr>
        <w:t xml:space="preserve">) and </w:t>
      </w:r>
      <w:proofErr w:type="spellStart"/>
      <w:r w:rsidRPr="0ECCBD25">
        <w:rPr>
          <w:rStyle w:val="normaltextrun"/>
          <w:rFonts w:eastAsiaTheme="minorEastAsia"/>
        </w:rPr>
        <w:t>Sirococcus</w:t>
      </w:r>
      <w:proofErr w:type="spellEnd"/>
      <w:r w:rsidRPr="0ECCBD25">
        <w:rPr>
          <w:rStyle w:val="normaltextrun"/>
          <w:rFonts w:eastAsiaTheme="minorEastAsia"/>
        </w:rPr>
        <w:t xml:space="preserve"> shoot blight (</w:t>
      </w:r>
      <w:proofErr w:type="spellStart"/>
      <w:r w:rsidRPr="0ECCBD25">
        <w:rPr>
          <w:rStyle w:val="spellingerror"/>
          <w:rFonts w:eastAsiaTheme="minorEastAsia"/>
          <w:i/>
          <w:iCs/>
        </w:rPr>
        <w:t>Sirrococcus</w:t>
      </w:r>
      <w:proofErr w:type="spellEnd"/>
      <w:r w:rsidRPr="0ECCBD25">
        <w:rPr>
          <w:rStyle w:val="normaltextrun"/>
          <w:rFonts w:eastAsiaTheme="minorEastAsia"/>
          <w:i/>
          <w:iCs/>
        </w:rPr>
        <w:t> </w:t>
      </w:r>
      <w:proofErr w:type="spellStart"/>
      <w:r w:rsidRPr="0ECCBD25">
        <w:rPr>
          <w:rStyle w:val="spellingerror"/>
          <w:rFonts w:eastAsiaTheme="minorEastAsia"/>
          <w:i/>
          <w:iCs/>
        </w:rPr>
        <w:t>conigenus</w:t>
      </w:r>
      <w:proofErr w:type="spellEnd"/>
      <w:r w:rsidRPr="0ECCBD25">
        <w:rPr>
          <w:rStyle w:val="normaltextrun"/>
          <w:rFonts w:eastAsiaTheme="minorEastAsia"/>
        </w:rPr>
        <w:t>). These observations remained consistent until 2013, with the addition of European pine sawflies (</w:t>
      </w:r>
      <w:proofErr w:type="spellStart"/>
      <w:r w:rsidRPr="0ECCBD25">
        <w:rPr>
          <w:rStyle w:val="spellingerror"/>
          <w:rFonts w:eastAsiaTheme="minorEastAsia"/>
          <w:i/>
          <w:iCs/>
        </w:rPr>
        <w:t>Neodiprion</w:t>
      </w:r>
      <w:proofErr w:type="spellEnd"/>
      <w:r w:rsidRPr="0ECCBD25">
        <w:rPr>
          <w:rStyle w:val="normaltextrun"/>
          <w:rFonts w:eastAsiaTheme="minorEastAsia"/>
          <w:i/>
          <w:iCs/>
        </w:rPr>
        <w:t> </w:t>
      </w:r>
      <w:proofErr w:type="spellStart"/>
      <w:r w:rsidRPr="0ECCBD25">
        <w:rPr>
          <w:rStyle w:val="spellingerror"/>
          <w:rFonts w:eastAsiaTheme="minorEastAsia"/>
          <w:i/>
          <w:iCs/>
        </w:rPr>
        <w:t>sertifer</w:t>
      </w:r>
      <w:proofErr w:type="spellEnd"/>
      <w:r w:rsidRPr="0ECCBD25">
        <w:rPr>
          <w:rStyle w:val="normaltextrun"/>
          <w:rFonts w:eastAsiaTheme="minorEastAsia"/>
        </w:rPr>
        <w:t>) and in 2015, with the addition of red pine scale (</w:t>
      </w:r>
      <w:proofErr w:type="spellStart"/>
      <w:r w:rsidRPr="0ECCBD25">
        <w:rPr>
          <w:rStyle w:val="spellingerror"/>
          <w:rFonts w:eastAsiaTheme="minorEastAsia"/>
          <w:i/>
          <w:iCs/>
        </w:rPr>
        <w:t>Matsucoccus</w:t>
      </w:r>
      <w:proofErr w:type="spellEnd"/>
      <w:r w:rsidRPr="0ECCBD25">
        <w:rPr>
          <w:rStyle w:val="normaltextrun"/>
          <w:rFonts w:eastAsiaTheme="minorEastAsia"/>
          <w:i/>
          <w:iCs/>
        </w:rPr>
        <w:t> </w:t>
      </w:r>
      <w:proofErr w:type="spellStart"/>
      <w:r w:rsidRPr="0ECCBD25">
        <w:rPr>
          <w:rStyle w:val="spellingerror"/>
          <w:rFonts w:eastAsiaTheme="minorEastAsia"/>
          <w:i/>
          <w:iCs/>
        </w:rPr>
        <w:t>resinosae</w:t>
      </w:r>
      <w:proofErr w:type="spellEnd"/>
      <w:r w:rsidRPr="0ECCBD25">
        <w:rPr>
          <w:rStyle w:val="normaltextrun"/>
          <w:rFonts w:eastAsiaTheme="minorEastAsia"/>
        </w:rPr>
        <w:t>). In 2017, </w:t>
      </w:r>
      <w:proofErr w:type="spellStart"/>
      <w:r w:rsidRPr="0ECCBD25">
        <w:rPr>
          <w:rStyle w:val="spellingerror"/>
          <w:rFonts w:eastAsiaTheme="minorEastAsia"/>
        </w:rPr>
        <w:t>annosus</w:t>
      </w:r>
      <w:proofErr w:type="spellEnd"/>
      <w:r w:rsidRPr="0ECCBD25">
        <w:rPr>
          <w:rStyle w:val="normaltextrun"/>
          <w:rFonts w:eastAsiaTheme="minorEastAsia"/>
        </w:rPr>
        <w:t> root rot (</w:t>
      </w:r>
      <w:proofErr w:type="spellStart"/>
      <w:r w:rsidRPr="0ECCBD25">
        <w:rPr>
          <w:rStyle w:val="spellingerror"/>
          <w:rFonts w:eastAsiaTheme="minorEastAsia"/>
          <w:i/>
          <w:iCs/>
        </w:rPr>
        <w:t>Heterobasidion</w:t>
      </w:r>
      <w:proofErr w:type="spellEnd"/>
      <w:r w:rsidRPr="0ECCBD25">
        <w:rPr>
          <w:rStyle w:val="normaltextrun"/>
          <w:rFonts w:eastAsiaTheme="minorEastAsia"/>
          <w:i/>
          <w:iCs/>
        </w:rPr>
        <w:t> </w:t>
      </w:r>
      <w:proofErr w:type="spellStart"/>
      <w:r w:rsidRPr="0ECCBD25">
        <w:rPr>
          <w:rStyle w:val="spellingerror"/>
          <w:rFonts w:eastAsiaTheme="minorEastAsia"/>
          <w:i/>
          <w:iCs/>
        </w:rPr>
        <w:t>annosum</w:t>
      </w:r>
      <w:proofErr w:type="spellEnd"/>
      <w:r w:rsidRPr="0ECCBD25">
        <w:rPr>
          <w:rStyle w:val="normaltextrun"/>
          <w:rFonts w:eastAsiaTheme="minorEastAsia"/>
        </w:rPr>
        <w:t>) was also observed. Although all biotic stressors </w:t>
      </w:r>
      <w:proofErr w:type="gramStart"/>
      <w:r w:rsidRPr="0ECCBD25">
        <w:rPr>
          <w:rStyle w:val="advancedproofingissue"/>
          <w:rFonts w:eastAsiaTheme="minorEastAsia"/>
        </w:rPr>
        <w:t>are capable of reducing</w:t>
      </w:r>
      <w:proofErr w:type="gramEnd"/>
      <w:r w:rsidRPr="0ECCBD25">
        <w:rPr>
          <w:rStyle w:val="normaltextrun"/>
          <w:rFonts w:eastAsiaTheme="minorEastAsia"/>
        </w:rPr>
        <w:t> tree health and vigor, no individual pest or pathogen observed was determined to be the causal agent of this decline. </w:t>
      </w:r>
      <w:r w:rsidRPr="0ECCBD25">
        <w:rPr>
          <w:rStyle w:val="eop"/>
          <w:rFonts w:eastAsiaTheme="minorEastAsia"/>
        </w:rPr>
        <w:t> </w:t>
      </w:r>
    </w:p>
    <w:p w14:paraId="40475EF9" w14:textId="5C3FD1AA" w:rsidR="00494164" w:rsidRDefault="00494164" w:rsidP="00ED6144">
      <w:r w:rsidRPr="59D67DFE">
        <w:rPr>
          <w:rStyle w:val="normaltextrun"/>
          <w:rFonts w:eastAsiaTheme="minorEastAsia"/>
        </w:rPr>
        <w:t xml:space="preserve">To try and determine the causal agent of this decline, 12 monitoring sites were established </w:t>
      </w:r>
      <w:r w:rsidR="23C4988C" w:rsidRPr="59D67DFE">
        <w:rPr>
          <w:rStyle w:val="normaltextrun"/>
          <w:rFonts w:eastAsiaTheme="minorEastAsia"/>
        </w:rPr>
        <w:t xml:space="preserve">and sampled </w:t>
      </w:r>
      <w:r w:rsidRPr="59D67DFE">
        <w:rPr>
          <w:rStyle w:val="normaltextrun"/>
          <w:rFonts w:eastAsiaTheme="minorEastAsia"/>
        </w:rPr>
        <w:t>in 2020 to try and observe red pine decline symptoms across the state.</w:t>
      </w:r>
      <w:r w:rsidR="743B7572" w:rsidRPr="59D67DFE">
        <w:rPr>
          <w:color w:val="000000" w:themeColor="text1"/>
          <w:sz w:val="24"/>
          <w:szCs w:val="24"/>
        </w:rPr>
        <w:t xml:space="preserve"> </w:t>
      </w:r>
      <w:r w:rsidR="743B7572" w:rsidRPr="59D67DFE">
        <w:rPr>
          <w:color w:val="000000" w:themeColor="text1"/>
        </w:rPr>
        <w:t xml:space="preserve">Foliar pathogens </w:t>
      </w:r>
      <w:r w:rsidR="6E1BAA75" w:rsidRPr="59D67DFE">
        <w:rPr>
          <w:color w:val="000000" w:themeColor="text1"/>
        </w:rPr>
        <w:t>i</w:t>
      </w:r>
      <w:r w:rsidR="743B7572" w:rsidRPr="59D67DFE">
        <w:rPr>
          <w:color w:val="000000" w:themeColor="text1"/>
        </w:rPr>
        <w:t xml:space="preserve">ncluded </w:t>
      </w:r>
      <w:proofErr w:type="spellStart"/>
      <w:r w:rsidR="743B7572" w:rsidRPr="59D67DFE">
        <w:rPr>
          <w:color w:val="000000" w:themeColor="text1"/>
        </w:rPr>
        <w:t>diplodia</w:t>
      </w:r>
      <w:proofErr w:type="spellEnd"/>
      <w:r w:rsidR="743B7572" w:rsidRPr="59D67DFE">
        <w:rPr>
          <w:color w:val="000000" w:themeColor="text1"/>
        </w:rPr>
        <w:t xml:space="preserve"> tip blight and </w:t>
      </w:r>
      <w:proofErr w:type="spellStart"/>
      <w:r w:rsidR="743B7572" w:rsidRPr="59D67DFE">
        <w:rPr>
          <w:color w:val="000000" w:themeColor="text1"/>
        </w:rPr>
        <w:t>sydowia</w:t>
      </w:r>
      <w:proofErr w:type="spellEnd"/>
      <w:r w:rsidR="743B7572" w:rsidRPr="59D67DFE">
        <w:rPr>
          <w:color w:val="000000" w:themeColor="text1"/>
        </w:rPr>
        <w:t xml:space="preserve"> blight (</w:t>
      </w:r>
      <w:proofErr w:type="spellStart"/>
      <w:r w:rsidR="743B7572" w:rsidRPr="59D67DFE">
        <w:rPr>
          <w:i/>
          <w:iCs/>
          <w:color w:val="000000" w:themeColor="text1"/>
        </w:rPr>
        <w:t>Sydowia</w:t>
      </w:r>
      <w:proofErr w:type="spellEnd"/>
      <w:r w:rsidR="743B7572" w:rsidRPr="59D67DFE">
        <w:rPr>
          <w:i/>
          <w:iCs/>
          <w:color w:val="000000" w:themeColor="text1"/>
        </w:rPr>
        <w:t xml:space="preserve"> </w:t>
      </w:r>
      <w:proofErr w:type="spellStart"/>
      <w:r w:rsidR="743B7572" w:rsidRPr="59D67DFE">
        <w:rPr>
          <w:i/>
          <w:iCs/>
          <w:color w:val="000000" w:themeColor="text1"/>
        </w:rPr>
        <w:t>polyspora</w:t>
      </w:r>
      <w:proofErr w:type="spellEnd"/>
      <w:r w:rsidR="65069069" w:rsidRPr="59D67DFE">
        <w:rPr>
          <w:color w:val="000000" w:themeColor="text1"/>
        </w:rPr>
        <w:t>). Insect pests observed included pine gall weevil, pine needle scale, and sawflies.</w:t>
      </w:r>
      <w:r w:rsidR="6842EB82" w:rsidRPr="59D67DFE">
        <w:rPr>
          <w:color w:val="000000" w:themeColor="text1"/>
          <w:sz w:val="24"/>
          <w:szCs w:val="24"/>
        </w:rPr>
        <w:t xml:space="preserve"> </w:t>
      </w:r>
      <w:r w:rsidR="246DF3A4" w:rsidRPr="59D67DFE">
        <w:rPr>
          <w:rStyle w:val="normaltextrun"/>
          <w:rFonts w:eastAsiaTheme="minorEastAsia"/>
        </w:rPr>
        <w:t>Although</w:t>
      </w:r>
      <w:r w:rsidRPr="59D67DFE">
        <w:rPr>
          <w:rStyle w:val="normaltextrun"/>
          <w:rFonts w:eastAsiaTheme="minorEastAsia"/>
        </w:rPr>
        <w:t xml:space="preserve"> no single observed stressor was identified to be the causal agent of this decline at this time, current hypotheses are that this declining pattern in red pine health is a combination of abiotic and biotic factors which include severe recent droughts, as well as the before mentioned insect stressors and fungal pathogens. </w:t>
      </w:r>
      <w:r w:rsidRPr="59D67DFE">
        <w:rPr>
          <w:rStyle w:val="eop"/>
          <w:rFonts w:eastAsiaTheme="minorEastAsia"/>
        </w:rPr>
        <w:t> </w:t>
      </w:r>
    </w:p>
    <w:p w14:paraId="0D1341EA" w14:textId="7365573A" w:rsidR="00494164" w:rsidRDefault="00494164" w:rsidP="00ED6144">
      <w:pPr>
        <w:rPr>
          <w:rStyle w:val="eop"/>
          <w:rFonts w:eastAsiaTheme="minorEastAsia"/>
        </w:rPr>
      </w:pPr>
      <w:r w:rsidRPr="0ED19A6C">
        <w:rPr>
          <w:rStyle w:val="normaltextrun"/>
          <w:rFonts w:eastAsiaTheme="minorEastAsia"/>
        </w:rPr>
        <w:t>By establishing monitoring sites across the state, FPR will be able to observe and document red pine decline spread and severity. These sites will allow us to better understand red pine health and future management across the state.</w:t>
      </w:r>
      <w:r w:rsidRPr="0ED19A6C">
        <w:rPr>
          <w:rStyle w:val="eop"/>
          <w:rFonts w:eastAsiaTheme="minorEastAsia"/>
        </w:rPr>
        <w:t> </w:t>
      </w:r>
    </w:p>
    <w:p w14:paraId="0D6F3997" w14:textId="77777777" w:rsidR="00EA3023" w:rsidRDefault="00EA3023" w:rsidP="00ED6144"/>
    <w:p w14:paraId="50B0AE7F" w14:textId="7E3BF47C" w:rsidR="00EE59ED" w:rsidRDefault="00EE59ED" w:rsidP="00ED6144">
      <w:pPr>
        <w:pStyle w:val="Heading2"/>
      </w:pPr>
      <w:r w:rsidRPr="29A70AAA">
        <w:t>White Pine Needle Damage</w:t>
      </w:r>
    </w:p>
    <w:p w14:paraId="236D9080" w14:textId="0D55355C" w:rsidR="00494164" w:rsidRDefault="37C4BCB4" w:rsidP="5658DD38">
      <w:r>
        <w:rPr>
          <w:rStyle w:val="normaltextrun"/>
          <w:rFonts w:ascii="Calibri" w:hAnsi="Calibri" w:cs="Calibri"/>
          <w:color w:val="000000"/>
          <w:shd w:val="clear" w:color="auto" w:fill="FFFFFF"/>
        </w:rPr>
        <w:t>White pine needle damage (WPND) is a fungal complex of four</w:t>
      </w:r>
      <w:r w:rsidR="53A15438">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different</w:t>
      </w:r>
      <w:r w:rsidR="01ABDD9F">
        <w:rPr>
          <w:rStyle w:val="normaltextrun"/>
          <w:rFonts w:ascii="Calibri" w:hAnsi="Calibri" w:cs="Calibri"/>
          <w:color w:val="000000"/>
          <w:shd w:val="clear" w:color="auto" w:fill="FFFFFF"/>
        </w:rPr>
        <w:t xml:space="preserve"> foliar pathogens, </w:t>
      </w:r>
      <w:proofErr w:type="spellStart"/>
      <w:r w:rsidR="01ABDD9F" w:rsidRPr="5658DD38">
        <w:rPr>
          <w:rStyle w:val="normaltextrun"/>
          <w:rFonts w:ascii="Calibri" w:hAnsi="Calibri" w:cs="Calibri"/>
          <w:i/>
          <w:iCs/>
          <w:color w:val="000000"/>
          <w:shd w:val="clear" w:color="auto" w:fill="FFFFFF"/>
        </w:rPr>
        <w:t>Bifusella</w:t>
      </w:r>
      <w:proofErr w:type="spellEnd"/>
      <w:r w:rsidR="01ABDD9F" w:rsidRPr="5658DD38">
        <w:rPr>
          <w:rStyle w:val="normaltextrun"/>
          <w:rFonts w:ascii="Calibri" w:hAnsi="Calibri" w:cs="Calibri"/>
          <w:i/>
          <w:iCs/>
          <w:color w:val="000000"/>
          <w:shd w:val="clear" w:color="auto" w:fill="FFFFFF"/>
        </w:rPr>
        <w:t xml:space="preserve"> linearis</w:t>
      </w:r>
      <w:r w:rsidR="01ABDD9F">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w:t>
      </w:r>
      <w:proofErr w:type="spellStart"/>
      <w:r w:rsidRPr="5658DD38">
        <w:rPr>
          <w:rStyle w:val="spellingerror"/>
          <w:rFonts w:ascii="Calibri" w:hAnsi="Calibri" w:cs="Calibri"/>
          <w:i/>
          <w:iCs/>
          <w:color w:val="000000"/>
          <w:shd w:val="clear" w:color="auto" w:fill="FFFFFF"/>
        </w:rPr>
        <w:t>Lecanosticta</w:t>
      </w:r>
      <w:proofErr w:type="spellEnd"/>
      <w:r>
        <w:rPr>
          <w:rStyle w:val="normaltextrun"/>
          <w:rFonts w:ascii="Calibri" w:hAnsi="Calibri" w:cs="Calibri"/>
          <w:color w:val="000000"/>
          <w:shd w:val="clear" w:color="auto" w:fill="FFFFFF"/>
        </w:rPr>
        <w:t> </w:t>
      </w:r>
      <w:proofErr w:type="spellStart"/>
      <w:r w:rsidRPr="5658DD38">
        <w:rPr>
          <w:rStyle w:val="spellingerror"/>
          <w:rFonts w:ascii="Calibri" w:hAnsi="Calibri" w:cs="Calibri"/>
          <w:i/>
          <w:iCs/>
          <w:color w:val="000000"/>
          <w:shd w:val="clear" w:color="auto" w:fill="FFFFFF"/>
        </w:rPr>
        <w:t>acicola</w:t>
      </w:r>
      <w:proofErr w:type="spellEnd"/>
      <w:r>
        <w:rPr>
          <w:rStyle w:val="normaltextrun"/>
          <w:rFonts w:ascii="Calibri" w:hAnsi="Calibri" w:cs="Calibri"/>
          <w:color w:val="000000"/>
          <w:shd w:val="clear" w:color="auto" w:fill="FFFFFF"/>
        </w:rPr>
        <w:t>, </w:t>
      </w:r>
      <w:proofErr w:type="spellStart"/>
      <w:r w:rsidRPr="5658DD38">
        <w:rPr>
          <w:rStyle w:val="spellingerror"/>
          <w:rFonts w:ascii="Calibri" w:hAnsi="Calibri" w:cs="Calibri"/>
          <w:i/>
          <w:iCs/>
          <w:color w:val="000000"/>
          <w:shd w:val="clear" w:color="auto" w:fill="FFFFFF"/>
        </w:rPr>
        <w:t>Lophophacidium</w:t>
      </w:r>
      <w:proofErr w:type="spellEnd"/>
      <w:r>
        <w:rPr>
          <w:rStyle w:val="normaltextrun"/>
          <w:rFonts w:ascii="Calibri" w:hAnsi="Calibri" w:cs="Calibri"/>
          <w:color w:val="000000"/>
          <w:shd w:val="clear" w:color="auto" w:fill="FFFFFF"/>
        </w:rPr>
        <w:t> </w:t>
      </w:r>
      <w:proofErr w:type="spellStart"/>
      <w:r w:rsidRPr="5658DD38">
        <w:rPr>
          <w:rStyle w:val="spellingerror"/>
          <w:rFonts w:ascii="Calibri" w:hAnsi="Calibri" w:cs="Calibri"/>
          <w:i/>
          <w:iCs/>
          <w:color w:val="000000"/>
          <w:shd w:val="clear" w:color="auto" w:fill="FFFFFF"/>
        </w:rPr>
        <w:t>dooksii</w:t>
      </w:r>
      <w:proofErr w:type="spellEnd"/>
      <w:r>
        <w:rPr>
          <w:rStyle w:val="normaltextrun"/>
          <w:rFonts w:ascii="Calibri" w:hAnsi="Calibri" w:cs="Calibri"/>
          <w:color w:val="000000"/>
          <w:shd w:val="clear" w:color="auto" w:fill="FFFFFF"/>
        </w:rPr>
        <w:t>, and </w:t>
      </w:r>
      <w:proofErr w:type="spellStart"/>
      <w:r w:rsidRPr="5658DD38">
        <w:rPr>
          <w:rStyle w:val="spellingerror"/>
          <w:rFonts w:ascii="Calibri" w:hAnsi="Calibri" w:cs="Calibri"/>
          <w:i/>
          <w:iCs/>
          <w:color w:val="000000"/>
          <w:shd w:val="clear" w:color="auto" w:fill="FFFFFF"/>
        </w:rPr>
        <w:t>Septorioides</w:t>
      </w:r>
      <w:proofErr w:type="spellEnd"/>
      <w:r w:rsidRPr="5658DD38">
        <w:rPr>
          <w:rStyle w:val="normaltextrun"/>
          <w:rFonts w:ascii="Calibri" w:hAnsi="Calibri" w:cs="Calibri"/>
          <w:i/>
          <w:iCs/>
          <w:color w:val="000000"/>
          <w:shd w:val="clear" w:color="auto" w:fill="FFFFFF"/>
        </w:rPr>
        <w:t> </w:t>
      </w:r>
      <w:proofErr w:type="spellStart"/>
      <w:r w:rsidRPr="5658DD38">
        <w:rPr>
          <w:rStyle w:val="spellingerror"/>
          <w:rFonts w:ascii="Calibri" w:hAnsi="Calibri" w:cs="Calibri"/>
          <w:i/>
          <w:iCs/>
          <w:color w:val="000000"/>
          <w:shd w:val="clear" w:color="auto" w:fill="FFFFFF"/>
        </w:rPr>
        <w:t>strobi</w:t>
      </w:r>
      <w:proofErr w:type="spellEnd"/>
      <w:r>
        <w:rPr>
          <w:rStyle w:val="normaltextrun"/>
          <w:rFonts w:ascii="Calibri" w:hAnsi="Calibri" w:cs="Calibri"/>
          <w:color w:val="000000"/>
          <w:shd w:val="clear" w:color="auto" w:fill="FFFFFF"/>
        </w:rPr>
        <w:t>, that have been associated with both needle cast and needle blight on eastern white pine trees throughout Vermont. Although this is an increasingly damaging complex, individually these pathogens are not documented as causal agents of large-scale defoliation.</w:t>
      </w:r>
      <w:r w:rsidR="5D5367D9">
        <w:rPr>
          <w:rStyle w:val="normaltextrun"/>
          <w:rFonts w:ascii="Calibri" w:hAnsi="Calibri" w:cs="Calibri"/>
          <w:color w:val="000000"/>
          <w:shd w:val="clear" w:color="auto" w:fill="FFFFFF"/>
        </w:rPr>
        <w:t xml:space="preserve"> C</w:t>
      </w:r>
      <w:r>
        <w:rPr>
          <w:rStyle w:val="normaltextrun"/>
          <w:rFonts w:ascii="Calibri" w:hAnsi="Calibri" w:cs="Calibri"/>
          <w:color w:val="000000"/>
          <w:shd w:val="clear" w:color="auto" w:fill="FFFFFF"/>
        </w:rPr>
        <w:t>hlorosis (yellowing) and necrosis (browning) of 1-year-old needles</w:t>
      </w:r>
      <w:r w:rsidR="51E8DDCD">
        <w:rPr>
          <w:rStyle w:val="normaltextrun"/>
          <w:rFonts w:ascii="Calibri" w:hAnsi="Calibri" w:cs="Calibri"/>
          <w:color w:val="000000"/>
          <w:shd w:val="clear" w:color="auto" w:fill="FFFFFF"/>
        </w:rPr>
        <w:t xml:space="preserve"> from in</w:t>
      </w:r>
      <w:r w:rsidR="51E8DDCD" w:rsidRPr="5658DD38">
        <w:rPr>
          <w:rStyle w:val="normaltextrun"/>
          <w:rFonts w:ascii="Calibri" w:hAnsi="Calibri" w:cs="Calibri"/>
          <w:color w:val="000000" w:themeColor="text1"/>
        </w:rPr>
        <w:t>fected trees have been observed</w:t>
      </w:r>
      <w:r>
        <w:rPr>
          <w:rStyle w:val="normaltextrun"/>
          <w:rFonts w:ascii="Calibri" w:hAnsi="Calibri" w:cs="Calibri"/>
          <w:color w:val="000000"/>
          <w:shd w:val="clear" w:color="auto" w:fill="FFFFFF"/>
        </w:rPr>
        <w:t xml:space="preserve">, with heavy infections </w:t>
      </w:r>
      <w:r w:rsidR="09FB1BA7">
        <w:rPr>
          <w:rStyle w:val="normaltextrun"/>
          <w:rFonts w:ascii="Calibri" w:hAnsi="Calibri" w:cs="Calibri"/>
          <w:color w:val="000000"/>
          <w:shd w:val="clear" w:color="auto" w:fill="FFFFFF"/>
        </w:rPr>
        <w:t xml:space="preserve">causing </w:t>
      </w:r>
      <w:r>
        <w:rPr>
          <w:rStyle w:val="normaltextrun"/>
          <w:rFonts w:ascii="Calibri" w:hAnsi="Calibri" w:cs="Calibri"/>
          <w:color w:val="000000"/>
          <w:shd w:val="clear" w:color="auto" w:fill="FFFFFF"/>
        </w:rPr>
        <w:t>defoliation and dieback.</w:t>
      </w:r>
      <w:r w:rsidR="1D671C96">
        <w:rPr>
          <w:rStyle w:val="normaltextrun"/>
          <w:rFonts w:ascii="Calibri" w:hAnsi="Calibri" w:cs="Calibri"/>
          <w:color w:val="000000"/>
          <w:shd w:val="clear" w:color="auto" w:fill="FFFFFF"/>
        </w:rPr>
        <w:t xml:space="preserve">  </w:t>
      </w:r>
      <w:r w:rsidR="01E87E63">
        <w:rPr>
          <w:rStyle w:val="normaltextrun"/>
          <w:rFonts w:ascii="Calibri" w:hAnsi="Calibri" w:cs="Calibri"/>
          <w:color w:val="000000"/>
          <w:shd w:val="clear" w:color="auto" w:fill="FFFFFF"/>
        </w:rPr>
        <w:t>WPND accounted for 2,683 acres of observable damage on white pine trees throughout the state in 2021</w:t>
      </w:r>
      <w:r w:rsidR="00856B59">
        <w:rPr>
          <w:rStyle w:val="normaltextrun"/>
          <w:rFonts w:ascii="Calibri" w:hAnsi="Calibri" w:cs="Calibri"/>
          <w:color w:val="000000"/>
          <w:shd w:val="clear" w:color="auto" w:fill="FFFFFF"/>
        </w:rPr>
        <w:t xml:space="preserve"> (Figure 11</w:t>
      </w:r>
      <w:r w:rsidR="00916A6A">
        <w:rPr>
          <w:rStyle w:val="normaltextrun"/>
          <w:rFonts w:ascii="Calibri" w:hAnsi="Calibri" w:cs="Calibri"/>
          <w:color w:val="000000"/>
          <w:shd w:val="clear" w:color="auto" w:fill="FFFFFF"/>
        </w:rPr>
        <w:t xml:space="preserve"> and 12</w:t>
      </w:r>
      <w:r w:rsidR="00856B59">
        <w:rPr>
          <w:rStyle w:val="normaltextrun"/>
          <w:rFonts w:ascii="Calibri" w:hAnsi="Calibri" w:cs="Calibri"/>
          <w:color w:val="000000"/>
          <w:shd w:val="clear" w:color="auto" w:fill="FFFFFF"/>
        </w:rPr>
        <w:t>)</w:t>
      </w:r>
      <w:r w:rsidR="61A59E6A" w:rsidRPr="59D67DFE">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w:t>
      </w:r>
    </w:p>
    <w:p w14:paraId="5684765F" w14:textId="77777777" w:rsidR="00EA3023" w:rsidRDefault="00EA3023" w:rsidP="00ED6144">
      <w:pPr>
        <w:rPr>
          <w:rStyle w:val="normaltextrun"/>
          <w:rFonts w:ascii="Calibri" w:hAnsi="Calibri" w:cs="Calibri"/>
          <w:color w:val="000000"/>
          <w:shd w:val="clear" w:color="auto" w:fill="FFFFFF"/>
        </w:rPr>
      </w:pPr>
    </w:p>
    <w:p w14:paraId="3B0F20FB" w14:textId="77777777" w:rsidR="00EA3023" w:rsidRDefault="00EA3023" w:rsidP="00ED6144">
      <w:pPr>
        <w:rPr>
          <w:rStyle w:val="normaltextrun"/>
          <w:rFonts w:ascii="Calibri" w:hAnsi="Calibri" w:cs="Calibri"/>
          <w:color w:val="000000"/>
          <w:shd w:val="clear" w:color="auto" w:fill="FFFFFF"/>
        </w:rPr>
      </w:pPr>
    </w:p>
    <w:p w14:paraId="6447EA72" w14:textId="77777777" w:rsidR="00EA3023" w:rsidRDefault="00EA3023" w:rsidP="00ED6144">
      <w:pPr>
        <w:rPr>
          <w:rStyle w:val="normaltextrun"/>
          <w:rFonts w:ascii="Calibri" w:hAnsi="Calibri" w:cs="Calibri"/>
          <w:color w:val="000000"/>
          <w:shd w:val="clear" w:color="auto" w:fill="FFFFFF"/>
        </w:rPr>
      </w:pPr>
    </w:p>
    <w:p w14:paraId="50B1BBE5" w14:textId="77777777" w:rsidR="00EA3023" w:rsidRDefault="00EA3023" w:rsidP="00ED6144">
      <w:pPr>
        <w:rPr>
          <w:rStyle w:val="normaltextrun"/>
          <w:rFonts w:ascii="Calibri" w:hAnsi="Calibri" w:cs="Calibri"/>
          <w:color w:val="000000"/>
          <w:shd w:val="clear" w:color="auto" w:fill="FFFFFF"/>
        </w:rPr>
      </w:pPr>
    </w:p>
    <w:p w14:paraId="51797C04" w14:textId="35F9F17B" w:rsidR="00E663A3" w:rsidRDefault="00EA3023" w:rsidP="00ED6144">
      <w:pPr>
        <w:rPr>
          <w:rStyle w:val="normaltextrun"/>
          <w:rFonts w:ascii="Calibri" w:hAnsi="Calibri" w:cs="Calibri"/>
          <w:color w:val="000000"/>
          <w:shd w:val="clear" w:color="auto" w:fill="FFFFFF"/>
        </w:rPr>
      </w:pPr>
      <w:r>
        <w:rPr>
          <w:noProof/>
        </w:rPr>
        <w:lastRenderedPageBreak/>
        <w:drawing>
          <wp:anchor distT="0" distB="0" distL="114300" distR="114300" simplePos="0" relativeHeight="251671040" behindDoc="0" locked="0" layoutInCell="1" allowOverlap="1" wp14:anchorId="19FB5D6E" wp14:editId="6EA1A66C">
            <wp:simplePos x="0" y="0"/>
            <wp:positionH relativeFrom="margin">
              <wp:align>center</wp:align>
            </wp:positionH>
            <wp:positionV relativeFrom="page">
              <wp:posOffset>1104216</wp:posOffset>
            </wp:positionV>
            <wp:extent cx="4544568" cy="6922008"/>
            <wp:effectExtent l="0" t="0" r="8890" b="0"/>
            <wp:wrapTopAndBottom/>
            <wp:docPr id="11" name="Picture 11" descr="Location and extent of damage caused by white pine needle diseases in 2021.  Most defoliation was noted in central and southern Ver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cation and extent of damage caused by white pine needle diseases in 2021.  Most defoliation was noted in central and southern Vermo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4568" cy="6922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1AA7B" w14:textId="77777777" w:rsidR="00EA3023" w:rsidRDefault="00EA3023" w:rsidP="00ED6144">
      <w:pPr>
        <w:rPr>
          <w:rStyle w:val="normaltextrun"/>
          <w:rFonts w:ascii="Calibri" w:hAnsi="Calibri" w:cs="Calibri"/>
          <w:color w:val="000000"/>
          <w:shd w:val="clear" w:color="auto" w:fill="FFFFFF"/>
        </w:rPr>
      </w:pPr>
    </w:p>
    <w:p w14:paraId="364C1FA4" w14:textId="77777777" w:rsidR="00856B59" w:rsidRDefault="00856B59" w:rsidP="00856B59">
      <w:pPr>
        <w:rPr>
          <w:rStyle w:val="normaltextrun"/>
          <w:rFonts w:ascii="Calibri" w:hAnsi="Calibri" w:cs="Calibri"/>
          <w:color w:val="000000"/>
          <w:shd w:val="clear" w:color="auto" w:fill="FFFFFF"/>
        </w:rPr>
      </w:pPr>
      <w:r>
        <w:rPr>
          <w:rStyle w:val="normaltextrun"/>
          <w:rFonts w:ascii="Calibri" w:hAnsi="Calibri" w:cs="Calibri"/>
          <w:b/>
          <w:bCs/>
          <w:color w:val="000000"/>
          <w:shd w:val="clear" w:color="auto" w:fill="FFFFFF"/>
        </w:rPr>
        <w:t>Figure 11. </w:t>
      </w:r>
      <w:r>
        <w:rPr>
          <w:rStyle w:val="normaltextrun"/>
          <w:rFonts w:ascii="Calibri" w:hAnsi="Calibri" w:cs="Calibri"/>
          <w:color w:val="000000"/>
          <w:shd w:val="clear" w:color="auto" w:fill="FFFFFF"/>
        </w:rPr>
        <w:t>Defoliation caused by white pine needle diseases (WPND) affected 2,683 acres in the state in 2021.</w:t>
      </w:r>
    </w:p>
    <w:p w14:paraId="374CD2E7" w14:textId="77777777" w:rsidR="00EA3023" w:rsidRDefault="00EA3023" w:rsidP="00ED6144">
      <w:pPr>
        <w:rPr>
          <w:rStyle w:val="normaltextrun"/>
          <w:rFonts w:ascii="Calibri" w:hAnsi="Calibri" w:cs="Calibri"/>
          <w:color w:val="000000"/>
          <w:shd w:val="clear" w:color="auto" w:fill="FFFFFF"/>
        </w:rPr>
      </w:pPr>
    </w:p>
    <w:p w14:paraId="10F07C48" w14:textId="77777777" w:rsidR="00916A6A" w:rsidRDefault="00916A6A" w:rsidP="00ED6144">
      <w:pPr>
        <w:rPr>
          <w:rStyle w:val="normaltextrun"/>
          <w:rFonts w:ascii="Calibri" w:hAnsi="Calibri" w:cs="Calibri"/>
          <w:color w:val="000000"/>
          <w:shd w:val="clear" w:color="auto" w:fill="FFFFFF"/>
        </w:rPr>
      </w:pPr>
    </w:p>
    <w:p w14:paraId="0D34D5C6" w14:textId="77777777" w:rsidR="002D613A" w:rsidRDefault="002D613A" w:rsidP="002D613A">
      <w:pPr>
        <w:rPr>
          <w:rStyle w:val="normaltextrun"/>
          <w:rFonts w:ascii="Calibri" w:hAnsi="Calibri" w:cs="Calibri"/>
          <w:color w:val="000000"/>
          <w:shd w:val="clear" w:color="auto" w:fill="FFFFFF"/>
        </w:rPr>
      </w:pPr>
      <w:r>
        <w:rPr>
          <w:rStyle w:val="normaltextrun"/>
          <w:rFonts w:ascii="Calibri" w:hAnsi="Calibri" w:cs="Calibri"/>
          <w:b/>
          <w:bCs/>
          <w:color w:val="000000"/>
          <w:shd w:val="clear" w:color="auto" w:fill="FFFFFF"/>
        </w:rPr>
        <w:t>Figure 12.</w:t>
      </w:r>
      <w:r>
        <w:rPr>
          <w:rStyle w:val="normaltextrun"/>
          <w:rFonts w:ascii="Calibri" w:hAnsi="Calibri" w:cs="Calibri"/>
          <w:color w:val="000000"/>
          <w:shd w:val="clear" w:color="auto" w:fill="FFFFFF"/>
        </w:rPr>
        <w:t> Mean chlorosis (yellowing) and defoliation of white pine trees from four plots (</w:t>
      </w:r>
      <w:r>
        <w:rPr>
          <w:rStyle w:val="normaltextrun"/>
          <w:rFonts w:ascii="Calibri" w:hAnsi="Calibri" w:cs="Calibri"/>
          <w:i/>
          <w:iCs/>
          <w:color w:val="000000"/>
          <w:shd w:val="clear" w:color="auto" w:fill="FFFFFF"/>
        </w:rPr>
        <w:t>n </w:t>
      </w:r>
      <w:r>
        <w:rPr>
          <w:rStyle w:val="normaltextrun"/>
          <w:rFonts w:ascii="Calibri" w:hAnsi="Calibri" w:cs="Calibri"/>
          <w:color w:val="000000"/>
          <w:shd w:val="clear" w:color="auto" w:fill="FFFFFF"/>
        </w:rPr>
        <w:t>= 50) in Vermont.  Mean severity score indicates what portion of the crown is impacted (1 = 1/3, 2 = 2/3, 3 = entire crown). </w:t>
      </w:r>
    </w:p>
    <w:p w14:paraId="5D1F3594" w14:textId="74DC800A" w:rsidR="00494164" w:rsidRDefault="00916A6A" w:rsidP="00ED6144">
      <w:pPr>
        <w:rPr>
          <w:rStyle w:val="eop"/>
          <w:rFonts w:ascii="Calibri" w:hAnsi="Calibri" w:cs="Calibri"/>
          <w:color w:val="000000"/>
          <w:shd w:val="clear" w:color="auto" w:fill="FFFFFF"/>
        </w:rPr>
      </w:pPr>
      <w:r>
        <w:rPr>
          <w:noProof/>
        </w:rPr>
        <w:drawing>
          <wp:anchor distT="0" distB="0" distL="114300" distR="114300" simplePos="0" relativeHeight="251673088" behindDoc="0" locked="0" layoutInCell="1" allowOverlap="1" wp14:anchorId="7F018098" wp14:editId="24DD0728">
            <wp:simplePos x="0" y="0"/>
            <wp:positionH relativeFrom="column">
              <wp:posOffset>498475</wp:posOffset>
            </wp:positionH>
            <wp:positionV relativeFrom="margin">
              <wp:align>top</wp:align>
            </wp:positionV>
            <wp:extent cx="4581144" cy="2752344"/>
            <wp:effectExtent l="0" t="0" r="0" b="0"/>
            <wp:wrapTopAndBottom/>
            <wp:docPr id="12" name="Picture 12" descr="Graph showing average yellowing and defoliation of white pine trees due to white pine needle diseases (WPND) from 4 long-term monitoring plots in Vermont.  Data from 2021 indicate that WPND continues to affect forests 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 showing average yellowing and defoliation of white pine trees due to white pine needle diseases (WPND) from 4 long-term monitoring plots in Vermont.  Data from 2021 indicate that WPND continues to affect forests in the st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144" cy="2752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37C4BCB4">
        <w:rPr>
          <w:rStyle w:val="normaltextrun"/>
          <w:rFonts w:ascii="Calibri" w:hAnsi="Calibri" w:cs="Calibri"/>
          <w:color w:val="000000"/>
          <w:shd w:val="clear" w:color="auto" w:fill="FFFFFF"/>
        </w:rPr>
        <w:t>The expression of WPND is linked to the amount of humidity and moisture from the previous spring (e.g., 2021 damage is influenced by 2020 weather). Spore production typically peaks in June during shoot elongation. We expect WPND to be present again in 2022, but to be less severe than in recent years due to the dry spring in 2021.</w:t>
      </w:r>
      <w:r w:rsidR="37C4BCB4">
        <w:rPr>
          <w:rStyle w:val="eop"/>
          <w:rFonts w:ascii="Calibri" w:hAnsi="Calibri" w:cs="Calibri"/>
          <w:color w:val="000000"/>
          <w:shd w:val="clear" w:color="auto" w:fill="FFFFFF"/>
        </w:rPr>
        <w:t> </w:t>
      </w:r>
    </w:p>
    <w:p w14:paraId="0F40EA78" w14:textId="7808FE4A" w:rsidR="00EE59ED" w:rsidRDefault="009FA613" w:rsidP="00ED6144">
      <w:pPr>
        <w:pStyle w:val="Heading1"/>
      </w:pPr>
      <w:r w:rsidRPr="12E2B521">
        <w:t>Invasive Plant Programs</w:t>
      </w:r>
    </w:p>
    <w:p w14:paraId="4391E931" w14:textId="4FA93EEF" w:rsidR="00EE59ED" w:rsidRDefault="009FA613" w:rsidP="00ED6144">
      <w:r>
        <w:t xml:space="preserve">Through the thick of the pandemic, the Forest Health Invasive Plant Program (IPP) continued invasive plant management efforts with creative solutions to meet 2021 safety guidelines. Control, outreach, and education programs progressed through multiple grant-funded streams -- since 2014, almost 4,000 volunteers have assisted the program with direct management of invasive plants in Vermont. This year, the IPP offered virtual workshops to local municipal road crews, state recycling coordinators, Agency of Natural Resources staff, and Cooperative Invasive Species Management Areas (CISMAs); participated in local initiatives like Wild Foods; and created a video that was published on the </w:t>
      </w:r>
      <w:r w:rsidR="74E4293F">
        <w:t>Agency of Natural Resources (</w:t>
      </w:r>
      <w:r>
        <w:t>ANR</w:t>
      </w:r>
      <w:r w:rsidR="6E75A3B7">
        <w:t>)</w:t>
      </w:r>
      <w:r>
        <w:t xml:space="preserve"> YouTube site as part of Municipal Day 2021. IPP staff fielded hundreds of inquiries about invasive plants – an upward trending pattern that we hopefully attribute to more people spending time on the land, in the forests, and on the trails. </w:t>
      </w:r>
    </w:p>
    <w:p w14:paraId="7299F55F" w14:textId="28C39EC9" w:rsidR="00EE59ED" w:rsidRDefault="5368E788" w:rsidP="00ED6144">
      <w:r w:rsidRPr="0002DDED">
        <w:t>The Forest Hero! Network was established in late 2018, with 5 trainings conducted between 2018 and 2021. The Network trains individuals to act as local leaders to motivate their communities to engage in invasive plant management; it is a collaboration between Vermont Coverts: Woodlands for Wildlife, Vermont Department of Forests, Parks &amp; Recreation, and VTinvasives.org. The IPP moved the training online this spring, with 11 people completing the training in 2021. In total, 41 people have completed the training.</w:t>
      </w:r>
    </w:p>
    <w:sectPr w:rsidR="00EE59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9ED"/>
    <w:rsid w:val="0002DDED"/>
    <w:rsid w:val="000869B9"/>
    <w:rsid w:val="001C2127"/>
    <w:rsid w:val="001E1387"/>
    <w:rsid w:val="002213DD"/>
    <w:rsid w:val="00263DE8"/>
    <w:rsid w:val="002D613A"/>
    <w:rsid w:val="00375953"/>
    <w:rsid w:val="00487540"/>
    <w:rsid w:val="00494164"/>
    <w:rsid w:val="005B5FDE"/>
    <w:rsid w:val="00611234"/>
    <w:rsid w:val="0062004B"/>
    <w:rsid w:val="00669FF4"/>
    <w:rsid w:val="006C7E7F"/>
    <w:rsid w:val="00856B59"/>
    <w:rsid w:val="00916A6A"/>
    <w:rsid w:val="009F0CE1"/>
    <w:rsid w:val="009FA613"/>
    <w:rsid w:val="00A95AF8"/>
    <w:rsid w:val="00A95CCB"/>
    <w:rsid w:val="00AD085F"/>
    <w:rsid w:val="00B56F86"/>
    <w:rsid w:val="00BD7478"/>
    <w:rsid w:val="00C03CED"/>
    <w:rsid w:val="00C830DA"/>
    <w:rsid w:val="00E663A3"/>
    <w:rsid w:val="00EA3023"/>
    <w:rsid w:val="00ED6144"/>
    <w:rsid w:val="00EE59ED"/>
    <w:rsid w:val="00FB47F3"/>
    <w:rsid w:val="00FE3FD5"/>
    <w:rsid w:val="014E765A"/>
    <w:rsid w:val="016A4949"/>
    <w:rsid w:val="0197882D"/>
    <w:rsid w:val="01ABCA4E"/>
    <w:rsid w:val="01ABDD9F"/>
    <w:rsid w:val="01DA6284"/>
    <w:rsid w:val="01E87E63"/>
    <w:rsid w:val="022466EA"/>
    <w:rsid w:val="028BD524"/>
    <w:rsid w:val="028DBAF2"/>
    <w:rsid w:val="02D98E80"/>
    <w:rsid w:val="030BF2D8"/>
    <w:rsid w:val="03424872"/>
    <w:rsid w:val="0350F9A1"/>
    <w:rsid w:val="037FC722"/>
    <w:rsid w:val="0399FFF7"/>
    <w:rsid w:val="039C78D2"/>
    <w:rsid w:val="03D96405"/>
    <w:rsid w:val="0411A811"/>
    <w:rsid w:val="04482724"/>
    <w:rsid w:val="046D7BFE"/>
    <w:rsid w:val="047D28C2"/>
    <w:rsid w:val="047EE59E"/>
    <w:rsid w:val="04E36B10"/>
    <w:rsid w:val="057B3E88"/>
    <w:rsid w:val="059116F2"/>
    <w:rsid w:val="05AC3357"/>
    <w:rsid w:val="06B4AD62"/>
    <w:rsid w:val="06E6C8D1"/>
    <w:rsid w:val="070F7471"/>
    <w:rsid w:val="071EB10F"/>
    <w:rsid w:val="0736AEB5"/>
    <w:rsid w:val="074CAD8B"/>
    <w:rsid w:val="07E15703"/>
    <w:rsid w:val="080BD7CB"/>
    <w:rsid w:val="0872242E"/>
    <w:rsid w:val="08829932"/>
    <w:rsid w:val="08B37636"/>
    <w:rsid w:val="09576178"/>
    <w:rsid w:val="09A60DC4"/>
    <w:rsid w:val="09F0BF69"/>
    <w:rsid w:val="09FB1BA7"/>
    <w:rsid w:val="0A10140B"/>
    <w:rsid w:val="0A1E81E7"/>
    <w:rsid w:val="0A387F01"/>
    <w:rsid w:val="0A442EB8"/>
    <w:rsid w:val="0A49EFE7"/>
    <w:rsid w:val="0A6CA2C2"/>
    <w:rsid w:val="0AC21B24"/>
    <w:rsid w:val="0AD0ADBE"/>
    <w:rsid w:val="0B4B49D3"/>
    <w:rsid w:val="0B594BE6"/>
    <w:rsid w:val="0B59DA85"/>
    <w:rsid w:val="0BD762A8"/>
    <w:rsid w:val="0C05FC88"/>
    <w:rsid w:val="0C349D38"/>
    <w:rsid w:val="0C6BAB20"/>
    <w:rsid w:val="0CF22981"/>
    <w:rsid w:val="0D0AED43"/>
    <w:rsid w:val="0D4D1C3C"/>
    <w:rsid w:val="0D635948"/>
    <w:rsid w:val="0D81E2D3"/>
    <w:rsid w:val="0D9E77E9"/>
    <w:rsid w:val="0DD06D99"/>
    <w:rsid w:val="0DD39BE4"/>
    <w:rsid w:val="0DEE2991"/>
    <w:rsid w:val="0E186EEB"/>
    <w:rsid w:val="0E904837"/>
    <w:rsid w:val="0ECCBD25"/>
    <w:rsid w:val="0ED19A6C"/>
    <w:rsid w:val="0EEA106A"/>
    <w:rsid w:val="0F683618"/>
    <w:rsid w:val="0F8ECE5D"/>
    <w:rsid w:val="0F914DC8"/>
    <w:rsid w:val="1006BD29"/>
    <w:rsid w:val="102D5EE3"/>
    <w:rsid w:val="10AB7184"/>
    <w:rsid w:val="10AC0944"/>
    <w:rsid w:val="10EEE5FE"/>
    <w:rsid w:val="1102501A"/>
    <w:rsid w:val="110FB958"/>
    <w:rsid w:val="1125CA53"/>
    <w:rsid w:val="11A7A420"/>
    <w:rsid w:val="11C78C8C"/>
    <w:rsid w:val="126BF18C"/>
    <w:rsid w:val="12E2B521"/>
    <w:rsid w:val="130A8F2E"/>
    <w:rsid w:val="13A1EA13"/>
    <w:rsid w:val="143524AB"/>
    <w:rsid w:val="14442EEE"/>
    <w:rsid w:val="1459E66A"/>
    <w:rsid w:val="14637AB9"/>
    <w:rsid w:val="1486C95D"/>
    <w:rsid w:val="14E93C55"/>
    <w:rsid w:val="14ED16D0"/>
    <w:rsid w:val="14F627FE"/>
    <w:rsid w:val="15235A5A"/>
    <w:rsid w:val="15377ED9"/>
    <w:rsid w:val="1550A736"/>
    <w:rsid w:val="156909C0"/>
    <w:rsid w:val="15716DB7"/>
    <w:rsid w:val="15E271BF"/>
    <w:rsid w:val="162F6EB8"/>
    <w:rsid w:val="169E69A3"/>
    <w:rsid w:val="16FDC6B4"/>
    <w:rsid w:val="1764B968"/>
    <w:rsid w:val="17CF4C9E"/>
    <w:rsid w:val="18062039"/>
    <w:rsid w:val="1892695F"/>
    <w:rsid w:val="193E6D9C"/>
    <w:rsid w:val="197B90D1"/>
    <w:rsid w:val="19FEC970"/>
    <w:rsid w:val="1A16AA57"/>
    <w:rsid w:val="1A3C7AE3"/>
    <w:rsid w:val="1AA68217"/>
    <w:rsid w:val="1B034832"/>
    <w:rsid w:val="1B0FAB3D"/>
    <w:rsid w:val="1B378B8C"/>
    <w:rsid w:val="1B44EAA8"/>
    <w:rsid w:val="1B5F23FF"/>
    <w:rsid w:val="1B90D7F1"/>
    <w:rsid w:val="1BD5E8EE"/>
    <w:rsid w:val="1BDD10A1"/>
    <w:rsid w:val="1BE3A9FE"/>
    <w:rsid w:val="1C1E69C6"/>
    <w:rsid w:val="1C2D9E8B"/>
    <w:rsid w:val="1C30DCB8"/>
    <w:rsid w:val="1C500BE5"/>
    <w:rsid w:val="1CF365E8"/>
    <w:rsid w:val="1D127DF8"/>
    <w:rsid w:val="1D2FD8E8"/>
    <w:rsid w:val="1D471DAA"/>
    <w:rsid w:val="1D671C96"/>
    <w:rsid w:val="1D8EB59B"/>
    <w:rsid w:val="1D93DBDE"/>
    <w:rsid w:val="1DD8F5A5"/>
    <w:rsid w:val="1E8F3649"/>
    <w:rsid w:val="1EB58D92"/>
    <w:rsid w:val="1EC13CB5"/>
    <w:rsid w:val="1F03A739"/>
    <w:rsid w:val="1F1DA9D6"/>
    <w:rsid w:val="1F22291E"/>
    <w:rsid w:val="1F2A85FC"/>
    <w:rsid w:val="1F944C00"/>
    <w:rsid w:val="2011DE4D"/>
    <w:rsid w:val="205DD5FA"/>
    <w:rsid w:val="20D23CF2"/>
    <w:rsid w:val="20E883F1"/>
    <w:rsid w:val="20F63207"/>
    <w:rsid w:val="2156EB88"/>
    <w:rsid w:val="217289B6"/>
    <w:rsid w:val="21A7F3C6"/>
    <w:rsid w:val="2201BBF9"/>
    <w:rsid w:val="2212F6D9"/>
    <w:rsid w:val="22AB4161"/>
    <w:rsid w:val="22ECC919"/>
    <w:rsid w:val="22FC9D4A"/>
    <w:rsid w:val="231B26E9"/>
    <w:rsid w:val="232981EC"/>
    <w:rsid w:val="23799F0E"/>
    <w:rsid w:val="23C0D1FB"/>
    <w:rsid w:val="23C4988C"/>
    <w:rsid w:val="24353C15"/>
    <w:rsid w:val="24518E7E"/>
    <w:rsid w:val="246DF3A4"/>
    <w:rsid w:val="24C40A0A"/>
    <w:rsid w:val="24ED35FC"/>
    <w:rsid w:val="24F3CE54"/>
    <w:rsid w:val="252F3138"/>
    <w:rsid w:val="2533E9BE"/>
    <w:rsid w:val="2611CFEB"/>
    <w:rsid w:val="266F69E8"/>
    <w:rsid w:val="2688CEC0"/>
    <w:rsid w:val="268EC492"/>
    <w:rsid w:val="26E97304"/>
    <w:rsid w:val="26F6919D"/>
    <w:rsid w:val="271C6F84"/>
    <w:rsid w:val="27841C51"/>
    <w:rsid w:val="27AF2E7B"/>
    <w:rsid w:val="27B2CCA1"/>
    <w:rsid w:val="2830C652"/>
    <w:rsid w:val="290BE62E"/>
    <w:rsid w:val="292AC80D"/>
    <w:rsid w:val="29A70AAA"/>
    <w:rsid w:val="2A1FD55F"/>
    <w:rsid w:val="2A3F05F6"/>
    <w:rsid w:val="2AEF00EA"/>
    <w:rsid w:val="2B2638CE"/>
    <w:rsid w:val="2B4D6353"/>
    <w:rsid w:val="2CB9EBEE"/>
    <w:rsid w:val="2CBCC18C"/>
    <w:rsid w:val="2D29A47D"/>
    <w:rsid w:val="2E1950D5"/>
    <w:rsid w:val="2E5891ED"/>
    <w:rsid w:val="2EA55A13"/>
    <w:rsid w:val="2EAA69CA"/>
    <w:rsid w:val="2EDE0DF0"/>
    <w:rsid w:val="2F519C83"/>
    <w:rsid w:val="2FBCF6BC"/>
    <w:rsid w:val="301D09B2"/>
    <w:rsid w:val="3034A308"/>
    <w:rsid w:val="309842D0"/>
    <w:rsid w:val="30AF3A63"/>
    <w:rsid w:val="30CF2F02"/>
    <w:rsid w:val="310B5CA0"/>
    <w:rsid w:val="310C5237"/>
    <w:rsid w:val="3116E929"/>
    <w:rsid w:val="312C57EF"/>
    <w:rsid w:val="31631C77"/>
    <w:rsid w:val="321054CA"/>
    <w:rsid w:val="32341331"/>
    <w:rsid w:val="323C2671"/>
    <w:rsid w:val="32B92D38"/>
    <w:rsid w:val="32E98B1B"/>
    <w:rsid w:val="33CEAC83"/>
    <w:rsid w:val="33CFD738"/>
    <w:rsid w:val="33CFE392"/>
    <w:rsid w:val="346A5285"/>
    <w:rsid w:val="348289E7"/>
    <w:rsid w:val="34A1EE24"/>
    <w:rsid w:val="34AE4AFD"/>
    <w:rsid w:val="35234BE1"/>
    <w:rsid w:val="352A0B70"/>
    <w:rsid w:val="354321FC"/>
    <w:rsid w:val="354C2149"/>
    <w:rsid w:val="358561E4"/>
    <w:rsid w:val="35DD5BA8"/>
    <w:rsid w:val="365BC6CD"/>
    <w:rsid w:val="368AFD8A"/>
    <w:rsid w:val="36A7EBC7"/>
    <w:rsid w:val="36AD2C8E"/>
    <w:rsid w:val="36B5E990"/>
    <w:rsid w:val="36C919A9"/>
    <w:rsid w:val="36FC1BDD"/>
    <w:rsid w:val="37078454"/>
    <w:rsid w:val="371AB6F5"/>
    <w:rsid w:val="371FE6DE"/>
    <w:rsid w:val="3750D7AF"/>
    <w:rsid w:val="3759FFAD"/>
    <w:rsid w:val="376CD4F0"/>
    <w:rsid w:val="376D2990"/>
    <w:rsid w:val="377D9D57"/>
    <w:rsid w:val="377F8AF6"/>
    <w:rsid w:val="37800E29"/>
    <w:rsid w:val="37C4BCB4"/>
    <w:rsid w:val="38064F6D"/>
    <w:rsid w:val="381496E5"/>
    <w:rsid w:val="38910E95"/>
    <w:rsid w:val="39B2EB66"/>
    <w:rsid w:val="39F80BEE"/>
    <w:rsid w:val="3A283A12"/>
    <w:rsid w:val="3A33B876"/>
    <w:rsid w:val="3A41C810"/>
    <w:rsid w:val="3A62E65A"/>
    <w:rsid w:val="3AAD505A"/>
    <w:rsid w:val="3B6749CC"/>
    <w:rsid w:val="3C93E9A2"/>
    <w:rsid w:val="3CB90406"/>
    <w:rsid w:val="3CFCBCBC"/>
    <w:rsid w:val="3D406855"/>
    <w:rsid w:val="3DAA7B19"/>
    <w:rsid w:val="3DF4F5D5"/>
    <w:rsid w:val="3E188A59"/>
    <w:rsid w:val="3E51381D"/>
    <w:rsid w:val="3E52FC65"/>
    <w:rsid w:val="3EC5C0EE"/>
    <w:rsid w:val="3F2D027E"/>
    <w:rsid w:val="3FA424DC"/>
    <w:rsid w:val="3FD6797C"/>
    <w:rsid w:val="400F2E7A"/>
    <w:rsid w:val="406C46C5"/>
    <w:rsid w:val="40780917"/>
    <w:rsid w:val="4097C75C"/>
    <w:rsid w:val="40B4FD10"/>
    <w:rsid w:val="40CEC047"/>
    <w:rsid w:val="41081E2D"/>
    <w:rsid w:val="4118AE81"/>
    <w:rsid w:val="414B1131"/>
    <w:rsid w:val="41BEC5F5"/>
    <w:rsid w:val="424A2B8C"/>
    <w:rsid w:val="42B11B2E"/>
    <w:rsid w:val="42B47018"/>
    <w:rsid w:val="42C53E51"/>
    <w:rsid w:val="437119AF"/>
    <w:rsid w:val="43A853CB"/>
    <w:rsid w:val="43EC9DD2"/>
    <w:rsid w:val="43FD5FD9"/>
    <w:rsid w:val="44698996"/>
    <w:rsid w:val="44FA09CD"/>
    <w:rsid w:val="4553D200"/>
    <w:rsid w:val="45B8E620"/>
    <w:rsid w:val="463D925E"/>
    <w:rsid w:val="464C339B"/>
    <w:rsid w:val="467E196B"/>
    <w:rsid w:val="472271F1"/>
    <w:rsid w:val="477BD107"/>
    <w:rsid w:val="482F1082"/>
    <w:rsid w:val="482FC8EB"/>
    <w:rsid w:val="486B8C79"/>
    <w:rsid w:val="486E20C8"/>
    <w:rsid w:val="48831AFC"/>
    <w:rsid w:val="488F9B0E"/>
    <w:rsid w:val="48A0D6F4"/>
    <w:rsid w:val="48D116A3"/>
    <w:rsid w:val="4944E83F"/>
    <w:rsid w:val="496302F7"/>
    <w:rsid w:val="49A1F383"/>
    <w:rsid w:val="49FA4845"/>
    <w:rsid w:val="4AC1ACB2"/>
    <w:rsid w:val="4B60989E"/>
    <w:rsid w:val="4B973DF8"/>
    <w:rsid w:val="4C283BAC"/>
    <w:rsid w:val="4C2AA624"/>
    <w:rsid w:val="4C2E7F2D"/>
    <w:rsid w:val="4C3E8912"/>
    <w:rsid w:val="4CC22AF1"/>
    <w:rsid w:val="4D11CD9A"/>
    <w:rsid w:val="4DDEAAEB"/>
    <w:rsid w:val="4E0FB1DC"/>
    <w:rsid w:val="4E5D9D7B"/>
    <w:rsid w:val="4E8FD650"/>
    <w:rsid w:val="4F3CD89B"/>
    <w:rsid w:val="4F43F5E4"/>
    <w:rsid w:val="4F46A7BD"/>
    <w:rsid w:val="4F7389B9"/>
    <w:rsid w:val="4F7D2C4F"/>
    <w:rsid w:val="4FA30835"/>
    <w:rsid w:val="4FC1F6AB"/>
    <w:rsid w:val="4FCCF716"/>
    <w:rsid w:val="50071DD7"/>
    <w:rsid w:val="500C58F0"/>
    <w:rsid w:val="5030250D"/>
    <w:rsid w:val="5086A76E"/>
    <w:rsid w:val="509FFF30"/>
    <w:rsid w:val="50A0056B"/>
    <w:rsid w:val="5111781D"/>
    <w:rsid w:val="519F24FA"/>
    <w:rsid w:val="51C29280"/>
    <w:rsid w:val="51DC9388"/>
    <w:rsid w:val="51E8DDCD"/>
    <w:rsid w:val="5223F961"/>
    <w:rsid w:val="5236E162"/>
    <w:rsid w:val="52A44A02"/>
    <w:rsid w:val="533AF55B"/>
    <w:rsid w:val="53486960"/>
    <w:rsid w:val="535FE67F"/>
    <w:rsid w:val="5368E788"/>
    <w:rsid w:val="53A15438"/>
    <w:rsid w:val="53BEC96A"/>
    <w:rsid w:val="53BFC9C2"/>
    <w:rsid w:val="54049E40"/>
    <w:rsid w:val="5574E9D8"/>
    <w:rsid w:val="557681F8"/>
    <w:rsid w:val="558A89EE"/>
    <w:rsid w:val="558E3C78"/>
    <w:rsid w:val="559702CB"/>
    <w:rsid w:val="55B9D33B"/>
    <w:rsid w:val="562CD719"/>
    <w:rsid w:val="5658DD38"/>
    <w:rsid w:val="566D17FF"/>
    <w:rsid w:val="57388AF1"/>
    <w:rsid w:val="574A2BA7"/>
    <w:rsid w:val="574CA4E5"/>
    <w:rsid w:val="57A7302D"/>
    <w:rsid w:val="57B9E96B"/>
    <w:rsid w:val="57D3CF99"/>
    <w:rsid w:val="5834146A"/>
    <w:rsid w:val="58701007"/>
    <w:rsid w:val="58C5891D"/>
    <w:rsid w:val="58D7C01B"/>
    <w:rsid w:val="5936EB47"/>
    <w:rsid w:val="5943008E"/>
    <w:rsid w:val="59C29969"/>
    <w:rsid w:val="59C5B8F7"/>
    <w:rsid w:val="59D67DFE"/>
    <w:rsid w:val="5B0CD828"/>
    <w:rsid w:val="5B38523D"/>
    <w:rsid w:val="5B794FD3"/>
    <w:rsid w:val="5BA70928"/>
    <w:rsid w:val="5BC5F913"/>
    <w:rsid w:val="5CA7A6C1"/>
    <w:rsid w:val="5CBA94F7"/>
    <w:rsid w:val="5D3766CE"/>
    <w:rsid w:val="5D5367D9"/>
    <w:rsid w:val="5DAB313E"/>
    <w:rsid w:val="5DBC7237"/>
    <w:rsid w:val="5DD7FD8C"/>
    <w:rsid w:val="5DF4879A"/>
    <w:rsid w:val="5DFBC8DA"/>
    <w:rsid w:val="5DFFD1E4"/>
    <w:rsid w:val="5E2E7D2C"/>
    <w:rsid w:val="5E7BB425"/>
    <w:rsid w:val="5E843E78"/>
    <w:rsid w:val="5F431984"/>
    <w:rsid w:val="5F97993B"/>
    <w:rsid w:val="5FA62CCB"/>
    <w:rsid w:val="5FCA4D8D"/>
    <w:rsid w:val="600377F5"/>
    <w:rsid w:val="60286069"/>
    <w:rsid w:val="603CC096"/>
    <w:rsid w:val="60BCBBE1"/>
    <w:rsid w:val="61001ECE"/>
    <w:rsid w:val="612E5160"/>
    <w:rsid w:val="615D64D3"/>
    <w:rsid w:val="617B7BAB"/>
    <w:rsid w:val="61A2B6DD"/>
    <w:rsid w:val="61A59E6A"/>
    <w:rsid w:val="61C2D49A"/>
    <w:rsid w:val="6202F336"/>
    <w:rsid w:val="6268D4D6"/>
    <w:rsid w:val="631B8B84"/>
    <w:rsid w:val="633E873E"/>
    <w:rsid w:val="63B6BD6E"/>
    <w:rsid w:val="641331BC"/>
    <w:rsid w:val="6457B818"/>
    <w:rsid w:val="646203FF"/>
    <w:rsid w:val="648CB67B"/>
    <w:rsid w:val="649A062C"/>
    <w:rsid w:val="64D447FB"/>
    <w:rsid w:val="64E21AA7"/>
    <w:rsid w:val="65069069"/>
    <w:rsid w:val="6530D8C3"/>
    <w:rsid w:val="658899F8"/>
    <w:rsid w:val="6648421B"/>
    <w:rsid w:val="664DF622"/>
    <w:rsid w:val="665A49EA"/>
    <w:rsid w:val="667F1334"/>
    <w:rsid w:val="66813D94"/>
    <w:rsid w:val="66EB1FC5"/>
    <w:rsid w:val="66F922AA"/>
    <w:rsid w:val="675A13F9"/>
    <w:rsid w:val="676CEAB9"/>
    <w:rsid w:val="67A02B0F"/>
    <w:rsid w:val="67E41EAD"/>
    <w:rsid w:val="67FFFF14"/>
    <w:rsid w:val="6842EB82"/>
    <w:rsid w:val="687A7BBE"/>
    <w:rsid w:val="6896D1AB"/>
    <w:rsid w:val="68BC4749"/>
    <w:rsid w:val="69129F37"/>
    <w:rsid w:val="695EF924"/>
    <w:rsid w:val="69645B4B"/>
    <w:rsid w:val="69F11B80"/>
    <w:rsid w:val="6A4BCA69"/>
    <w:rsid w:val="6A4F80EA"/>
    <w:rsid w:val="6A8F20D0"/>
    <w:rsid w:val="6ABE4E7C"/>
    <w:rsid w:val="6C206A7B"/>
    <w:rsid w:val="6C785A1F"/>
    <w:rsid w:val="6C79B082"/>
    <w:rsid w:val="6C7EA003"/>
    <w:rsid w:val="6C809E26"/>
    <w:rsid w:val="6C83D1B4"/>
    <w:rsid w:val="6CCC0D76"/>
    <w:rsid w:val="6D3BEAA8"/>
    <w:rsid w:val="6D4115E1"/>
    <w:rsid w:val="6E0EA4BD"/>
    <w:rsid w:val="6E1BAA75"/>
    <w:rsid w:val="6E30448A"/>
    <w:rsid w:val="6E67DDD7"/>
    <w:rsid w:val="6E75A3B7"/>
    <w:rsid w:val="6F8D4247"/>
    <w:rsid w:val="6FA5A5B9"/>
    <w:rsid w:val="6FB2D302"/>
    <w:rsid w:val="6FF3F291"/>
    <w:rsid w:val="6FFB4CBF"/>
    <w:rsid w:val="70012C30"/>
    <w:rsid w:val="7037BFFF"/>
    <w:rsid w:val="704E4625"/>
    <w:rsid w:val="704F125D"/>
    <w:rsid w:val="70738B6A"/>
    <w:rsid w:val="707C2E44"/>
    <w:rsid w:val="7086BAD4"/>
    <w:rsid w:val="708CB3C7"/>
    <w:rsid w:val="7122994D"/>
    <w:rsid w:val="71275EAA"/>
    <w:rsid w:val="71517AEC"/>
    <w:rsid w:val="716A116B"/>
    <w:rsid w:val="719A2AFC"/>
    <w:rsid w:val="71BCE780"/>
    <w:rsid w:val="72DB3132"/>
    <w:rsid w:val="733176E4"/>
    <w:rsid w:val="7356E85B"/>
    <w:rsid w:val="7393B572"/>
    <w:rsid w:val="7394A550"/>
    <w:rsid w:val="73A6A91E"/>
    <w:rsid w:val="73C45489"/>
    <w:rsid w:val="743B7572"/>
    <w:rsid w:val="746BB044"/>
    <w:rsid w:val="74C86B64"/>
    <w:rsid w:val="74E4293F"/>
    <w:rsid w:val="74E66FA2"/>
    <w:rsid w:val="74FDA95E"/>
    <w:rsid w:val="7500DDDF"/>
    <w:rsid w:val="750B3122"/>
    <w:rsid w:val="75323E34"/>
    <w:rsid w:val="756A5C4E"/>
    <w:rsid w:val="75A74A63"/>
    <w:rsid w:val="75CA7438"/>
    <w:rsid w:val="75E5956C"/>
    <w:rsid w:val="7602C949"/>
    <w:rsid w:val="7653E7DD"/>
    <w:rsid w:val="767FF0F1"/>
    <w:rsid w:val="769979BF"/>
    <w:rsid w:val="778099FE"/>
    <w:rsid w:val="77A84CBE"/>
    <w:rsid w:val="7829A987"/>
    <w:rsid w:val="783DD54E"/>
    <w:rsid w:val="786FB806"/>
    <w:rsid w:val="78749E97"/>
    <w:rsid w:val="78759D69"/>
    <w:rsid w:val="78A7A338"/>
    <w:rsid w:val="78A8E215"/>
    <w:rsid w:val="78DB8DAB"/>
    <w:rsid w:val="78E8252C"/>
    <w:rsid w:val="798B41D4"/>
    <w:rsid w:val="79A0B868"/>
    <w:rsid w:val="79F76A29"/>
    <w:rsid w:val="7A09E82D"/>
    <w:rsid w:val="7A26FDCB"/>
    <w:rsid w:val="7A3377C7"/>
    <w:rsid w:val="7A819570"/>
    <w:rsid w:val="7BBD0ED9"/>
    <w:rsid w:val="7BBE2B97"/>
    <w:rsid w:val="7BD17D7A"/>
    <w:rsid w:val="7C01AD17"/>
    <w:rsid w:val="7C31CD61"/>
    <w:rsid w:val="7C840BD5"/>
    <w:rsid w:val="7D077D45"/>
    <w:rsid w:val="7D5C7268"/>
    <w:rsid w:val="7E573C72"/>
    <w:rsid w:val="7E7896B3"/>
    <w:rsid w:val="7E98EB0B"/>
    <w:rsid w:val="7F1C36F9"/>
    <w:rsid w:val="7F24247F"/>
    <w:rsid w:val="7F3CC415"/>
    <w:rsid w:val="7F60385D"/>
    <w:rsid w:val="7F73A527"/>
    <w:rsid w:val="7F8FCDFB"/>
    <w:rsid w:val="7FA7FB95"/>
    <w:rsid w:val="7FBBAC97"/>
    <w:rsid w:val="7FC5F9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40358"/>
  <w15:chartTrackingRefBased/>
  <w15:docId w15:val="{DB32AE0B-ADF3-4466-87DF-121A1C20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5FDE"/>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D6144"/>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ED6144"/>
    <w:pPr>
      <w:keepNext/>
      <w:keepLines/>
      <w:spacing w:before="40" w:after="0"/>
      <w:outlineLvl w:val="2"/>
    </w:pPr>
    <w:rPr>
      <w:rFonts w:eastAsiaTheme="majorEastAsia" w:cstheme="majorBidi"/>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EE59ED"/>
  </w:style>
  <w:style w:type="character" w:customStyle="1" w:styleId="spellingerror">
    <w:name w:val="spellingerror"/>
    <w:basedOn w:val="DefaultParagraphFont"/>
    <w:rsid w:val="00EE59ED"/>
  </w:style>
  <w:style w:type="character" w:customStyle="1" w:styleId="eop">
    <w:name w:val="eop"/>
    <w:basedOn w:val="DefaultParagraphFont"/>
    <w:rsid w:val="00EE59ED"/>
  </w:style>
  <w:style w:type="paragraph" w:customStyle="1" w:styleId="paragraph">
    <w:name w:val="paragraph"/>
    <w:basedOn w:val="Normal"/>
    <w:rsid w:val="00C03C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vancedproofingissue">
    <w:name w:val="advancedproofingissue"/>
    <w:basedOn w:val="DefaultParagraphFont"/>
    <w:rsid w:val="00C03CED"/>
  </w:style>
  <w:style w:type="character" w:customStyle="1" w:styleId="contextualspellingandgrammarerror">
    <w:name w:val="contextualspellingandgrammarerror"/>
    <w:basedOn w:val="DefaultParagraphFont"/>
    <w:rsid w:val="00C03C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5B5FDE"/>
    <w:rPr>
      <w:rFonts w:eastAsiaTheme="majorEastAsia" w:cstheme="majorBidi"/>
      <w:b/>
      <w:sz w:val="32"/>
      <w:szCs w:val="32"/>
    </w:rPr>
  </w:style>
  <w:style w:type="paragraph" w:styleId="Title">
    <w:name w:val="Title"/>
    <w:basedOn w:val="Normal"/>
    <w:next w:val="Normal"/>
    <w:link w:val="TitleChar"/>
    <w:uiPriority w:val="10"/>
    <w:qFormat/>
    <w:rsid w:val="005B5FDE"/>
    <w:pPr>
      <w:spacing w:after="0" w:line="240" w:lineRule="auto"/>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5B5FDE"/>
    <w:rPr>
      <w:rFonts w:eastAsiaTheme="majorEastAsia" w:cstheme="majorBidi"/>
      <w:b/>
      <w:spacing w:val="-10"/>
      <w:kern w:val="28"/>
      <w:sz w:val="36"/>
      <w:szCs w:val="56"/>
    </w:rPr>
  </w:style>
  <w:style w:type="character" w:customStyle="1" w:styleId="Heading2Char">
    <w:name w:val="Heading 2 Char"/>
    <w:basedOn w:val="DefaultParagraphFont"/>
    <w:link w:val="Heading2"/>
    <w:uiPriority w:val="9"/>
    <w:rsid w:val="00ED6144"/>
    <w:rPr>
      <w:rFonts w:eastAsiaTheme="majorEastAsia" w:cstheme="majorBidi"/>
      <w:b/>
      <w:sz w:val="28"/>
      <w:szCs w:val="26"/>
    </w:rPr>
  </w:style>
  <w:style w:type="character" w:customStyle="1" w:styleId="Heading3Char">
    <w:name w:val="Heading 3 Char"/>
    <w:basedOn w:val="DefaultParagraphFont"/>
    <w:link w:val="Heading3"/>
    <w:uiPriority w:val="9"/>
    <w:rsid w:val="00ED6144"/>
    <w:rPr>
      <w:rFonts w:eastAsiaTheme="majorEastAsia" w:cstheme="majorBidi"/>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7218">
      <w:bodyDiv w:val="1"/>
      <w:marLeft w:val="0"/>
      <w:marRight w:val="0"/>
      <w:marTop w:val="0"/>
      <w:marBottom w:val="0"/>
      <w:divBdr>
        <w:top w:val="none" w:sz="0" w:space="0" w:color="auto"/>
        <w:left w:val="none" w:sz="0" w:space="0" w:color="auto"/>
        <w:bottom w:val="none" w:sz="0" w:space="0" w:color="auto"/>
        <w:right w:val="none" w:sz="0" w:space="0" w:color="auto"/>
      </w:divBdr>
      <w:divsChild>
        <w:div w:id="846015559">
          <w:marLeft w:val="0"/>
          <w:marRight w:val="0"/>
          <w:marTop w:val="0"/>
          <w:marBottom w:val="0"/>
          <w:divBdr>
            <w:top w:val="none" w:sz="0" w:space="0" w:color="auto"/>
            <w:left w:val="none" w:sz="0" w:space="0" w:color="auto"/>
            <w:bottom w:val="none" w:sz="0" w:space="0" w:color="auto"/>
            <w:right w:val="none" w:sz="0" w:space="0" w:color="auto"/>
          </w:divBdr>
        </w:div>
        <w:div w:id="1055398549">
          <w:marLeft w:val="0"/>
          <w:marRight w:val="0"/>
          <w:marTop w:val="0"/>
          <w:marBottom w:val="0"/>
          <w:divBdr>
            <w:top w:val="none" w:sz="0" w:space="0" w:color="auto"/>
            <w:left w:val="none" w:sz="0" w:space="0" w:color="auto"/>
            <w:bottom w:val="none" w:sz="0" w:space="0" w:color="auto"/>
            <w:right w:val="none" w:sz="0" w:space="0" w:color="auto"/>
          </w:divBdr>
        </w:div>
        <w:div w:id="1425690656">
          <w:marLeft w:val="0"/>
          <w:marRight w:val="0"/>
          <w:marTop w:val="0"/>
          <w:marBottom w:val="0"/>
          <w:divBdr>
            <w:top w:val="none" w:sz="0" w:space="0" w:color="auto"/>
            <w:left w:val="none" w:sz="0" w:space="0" w:color="auto"/>
            <w:bottom w:val="none" w:sz="0" w:space="0" w:color="auto"/>
            <w:right w:val="none" w:sz="0" w:space="0" w:color="auto"/>
          </w:divBdr>
        </w:div>
        <w:div w:id="1597056461">
          <w:marLeft w:val="0"/>
          <w:marRight w:val="0"/>
          <w:marTop w:val="0"/>
          <w:marBottom w:val="0"/>
          <w:divBdr>
            <w:top w:val="none" w:sz="0" w:space="0" w:color="auto"/>
            <w:left w:val="none" w:sz="0" w:space="0" w:color="auto"/>
            <w:bottom w:val="none" w:sz="0" w:space="0" w:color="auto"/>
            <w:right w:val="none" w:sz="0" w:space="0" w:color="auto"/>
          </w:divBdr>
        </w:div>
      </w:divsChild>
    </w:div>
    <w:div w:id="83501418">
      <w:bodyDiv w:val="1"/>
      <w:marLeft w:val="0"/>
      <w:marRight w:val="0"/>
      <w:marTop w:val="0"/>
      <w:marBottom w:val="0"/>
      <w:divBdr>
        <w:top w:val="none" w:sz="0" w:space="0" w:color="auto"/>
        <w:left w:val="none" w:sz="0" w:space="0" w:color="auto"/>
        <w:bottom w:val="none" w:sz="0" w:space="0" w:color="auto"/>
        <w:right w:val="none" w:sz="0" w:space="0" w:color="auto"/>
      </w:divBdr>
      <w:divsChild>
        <w:div w:id="332998240">
          <w:marLeft w:val="0"/>
          <w:marRight w:val="0"/>
          <w:marTop w:val="0"/>
          <w:marBottom w:val="0"/>
          <w:divBdr>
            <w:top w:val="none" w:sz="0" w:space="0" w:color="auto"/>
            <w:left w:val="none" w:sz="0" w:space="0" w:color="auto"/>
            <w:bottom w:val="none" w:sz="0" w:space="0" w:color="auto"/>
            <w:right w:val="none" w:sz="0" w:space="0" w:color="auto"/>
          </w:divBdr>
        </w:div>
        <w:div w:id="1382752659">
          <w:marLeft w:val="0"/>
          <w:marRight w:val="0"/>
          <w:marTop w:val="0"/>
          <w:marBottom w:val="0"/>
          <w:divBdr>
            <w:top w:val="none" w:sz="0" w:space="0" w:color="auto"/>
            <w:left w:val="none" w:sz="0" w:space="0" w:color="auto"/>
            <w:bottom w:val="none" w:sz="0" w:space="0" w:color="auto"/>
            <w:right w:val="none" w:sz="0" w:space="0" w:color="auto"/>
          </w:divBdr>
        </w:div>
      </w:divsChild>
    </w:div>
    <w:div w:id="1200628580">
      <w:bodyDiv w:val="1"/>
      <w:marLeft w:val="0"/>
      <w:marRight w:val="0"/>
      <w:marTop w:val="0"/>
      <w:marBottom w:val="0"/>
      <w:divBdr>
        <w:top w:val="none" w:sz="0" w:space="0" w:color="auto"/>
        <w:left w:val="none" w:sz="0" w:space="0" w:color="auto"/>
        <w:bottom w:val="none" w:sz="0" w:space="0" w:color="auto"/>
        <w:right w:val="none" w:sz="0" w:space="0" w:color="auto"/>
      </w:divBdr>
      <w:divsChild>
        <w:div w:id="612975426">
          <w:marLeft w:val="0"/>
          <w:marRight w:val="0"/>
          <w:marTop w:val="0"/>
          <w:marBottom w:val="0"/>
          <w:divBdr>
            <w:top w:val="none" w:sz="0" w:space="0" w:color="auto"/>
            <w:left w:val="none" w:sz="0" w:space="0" w:color="auto"/>
            <w:bottom w:val="none" w:sz="0" w:space="0" w:color="auto"/>
            <w:right w:val="none" w:sz="0" w:space="0" w:color="auto"/>
          </w:divBdr>
        </w:div>
        <w:div w:id="1551260619">
          <w:marLeft w:val="0"/>
          <w:marRight w:val="0"/>
          <w:marTop w:val="0"/>
          <w:marBottom w:val="0"/>
          <w:divBdr>
            <w:top w:val="none" w:sz="0" w:space="0" w:color="auto"/>
            <w:left w:val="none" w:sz="0" w:space="0" w:color="auto"/>
            <w:bottom w:val="none" w:sz="0" w:space="0" w:color="auto"/>
            <w:right w:val="none" w:sz="0" w:space="0" w:color="auto"/>
          </w:divBdr>
        </w:div>
      </w:divsChild>
    </w:div>
    <w:div w:id="1301617260">
      <w:bodyDiv w:val="1"/>
      <w:marLeft w:val="0"/>
      <w:marRight w:val="0"/>
      <w:marTop w:val="0"/>
      <w:marBottom w:val="0"/>
      <w:divBdr>
        <w:top w:val="none" w:sz="0" w:space="0" w:color="auto"/>
        <w:left w:val="none" w:sz="0" w:space="0" w:color="auto"/>
        <w:bottom w:val="none" w:sz="0" w:space="0" w:color="auto"/>
        <w:right w:val="none" w:sz="0" w:space="0" w:color="auto"/>
      </w:divBdr>
      <w:divsChild>
        <w:div w:id="376391244">
          <w:marLeft w:val="0"/>
          <w:marRight w:val="0"/>
          <w:marTop w:val="0"/>
          <w:marBottom w:val="0"/>
          <w:divBdr>
            <w:top w:val="none" w:sz="0" w:space="0" w:color="auto"/>
            <w:left w:val="none" w:sz="0" w:space="0" w:color="auto"/>
            <w:bottom w:val="none" w:sz="0" w:space="0" w:color="auto"/>
            <w:right w:val="none" w:sz="0" w:space="0" w:color="auto"/>
          </w:divBdr>
        </w:div>
        <w:div w:id="1042286199">
          <w:marLeft w:val="0"/>
          <w:marRight w:val="0"/>
          <w:marTop w:val="0"/>
          <w:marBottom w:val="0"/>
          <w:divBdr>
            <w:top w:val="none" w:sz="0" w:space="0" w:color="auto"/>
            <w:left w:val="none" w:sz="0" w:space="0" w:color="auto"/>
            <w:bottom w:val="none" w:sz="0" w:space="0" w:color="auto"/>
            <w:right w:val="none" w:sz="0" w:space="0" w:color="auto"/>
          </w:divBdr>
        </w:div>
        <w:div w:id="1916937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CAE338EA9D064E9C17BF7952C6204F" ma:contentTypeVersion="11" ma:contentTypeDescription="Create a new document." ma:contentTypeScope="" ma:versionID="16798117601ce9b0e4db42380a778d6b">
  <xsd:schema xmlns:xsd="http://www.w3.org/2001/XMLSchema" xmlns:xs="http://www.w3.org/2001/XMLSchema" xmlns:p="http://schemas.microsoft.com/office/2006/metadata/properties" xmlns:ns2="2819d22d-c924-42b3-954a-d3b43813cc67" xmlns:ns3="18dbc17e-cec9-4211-a89f-0bf74a616302" targetNamespace="http://schemas.microsoft.com/office/2006/metadata/properties" ma:root="true" ma:fieldsID="a5e6e69cd92a8d0b5068519c99bb81ae" ns2:_="" ns3:_="">
    <xsd:import namespace="2819d22d-c924-42b3-954a-d3b43813cc67"/>
    <xsd:import namespace="18dbc17e-cec9-4211-a89f-0bf74a6163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19d22d-c924-42b3-954a-d3b43813c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dbc17e-cec9-4211-a89f-0bf74a61630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F365F1-B102-45F8-9047-696E37A8606B}">
  <ds:schemaRefs>
    <ds:schemaRef ds:uri="http://schemas.microsoft.com/sharepoint/v3/contenttype/forms"/>
  </ds:schemaRefs>
</ds:datastoreItem>
</file>

<file path=customXml/itemProps2.xml><?xml version="1.0" encoding="utf-8"?>
<ds:datastoreItem xmlns:ds="http://schemas.openxmlformats.org/officeDocument/2006/customXml" ds:itemID="{EA2D06F7-DC32-4006-8161-96F2E898A2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DEB4D76-CB2B-49FC-A186-F894F1D60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19d22d-c924-42b3-954a-d3b43813cc67"/>
    <ds:schemaRef ds:uri="18dbc17e-cec9-4211-a89f-0bf74a6163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2693</Words>
  <Characters>14629</Characters>
  <Application>Microsoft Office Word</Application>
  <DocSecurity>0</DocSecurity>
  <Lines>235</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Decker, Kathy</dc:creator>
  <cp:keywords/>
  <dc:description/>
  <cp:lastModifiedBy>Decker, Kathy</cp:lastModifiedBy>
  <cp:revision>2</cp:revision>
  <dcterms:created xsi:type="dcterms:W3CDTF">2023-07-16T17:57:00Z</dcterms:created>
  <dcterms:modified xsi:type="dcterms:W3CDTF">2023-07-16T17:57:00Z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0x010100D8CAE338EA9D064E9C17BF7952C6204F</vt:lpwstr>
  </property>
</Properties>
</file>